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2626" w:rsidRDefault="00602626" w:rsidP="00602626">
      <w:pPr>
        <w:autoSpaceDE w:val="0"/>
        <w:autoSpaceDN w:val="0"/>
        <w:adjustRightInd w:val="0"/>
        <w:spacing w:after="0" w:line="240" w:lineRule="auto"/>
        <w:jc w:val="both"/>
        <w:rPr>
          <w:rFonts w:ascii="Century-Book" w:hAnsi="Century-Book" w:cs="Century-Book"/>
          <w:sz w:val="20"/>
          <w:szCs w:val="20"/>
        </w:rPr>
      </w:pPr>
      <w:r w:rsidRPr="00602626">
        <w:rPr>
          <w:rFonts w:ascii="Fenice-Regular" w:hAnsi="Fenice-Regular" w:cs="Fenice-Regular"/>
          <w:sz w:val="85"/>
          <w:szCs w:val="85"/>
        </w:rPr>
        <w:t>E</w:t>
      </w:r>
      <w:r w:rsidRPr="00602626">
        <w:rPr>
          <w:rFonts w:ascii="Century-Book" w:hAnsi="Century-Book" w:cs="Century-Book"/>
          <w:sz w:val="20"/>
          <w:szCs w:val="20"/>
        </w:rPr>
        <w:t xml:space="preserve">l </w:t>
      </w:r>
      <w:r w:rsidR="00915F97">
        <w:rPr>
          <w:rFonts w:ascii="Century-Book" w:hAnsi="Century-Book" w:cs="Century-Book"/>
          <w:sz w:val="20"/>
          <w:szCs w:val="20"/>
        </w:rPr>
        <w:t xml:space="preserve"> </w:t>
      </w:r>
      <w:r w:rsidRPr="00602626">
        <w:rPr>
          <w:rFonts w:ascii="Century-Book" w:hAnsi="Century-Book" w:cs="Century-Book"/>
          <w:sz w:val="20"/>
          <w:szCs w:val="20"/>
        </w:rPr>
        <w:t xml:space="preserve">trading de alta frecuencia </w:t>
      </w:r>
      <w:r>
        <w:rPr>
          <w:rFonts w:ascii="Century-Book" w:hAnsi="Century-Book" w:cs="Century-Book"/>
          <w:sz w:val="20"/>
          <w:szCs w:val="20"/>
        </w:rPr>
        <w:t xml:space="preserve">ha irrumpido con fuerza en Wall </w:t>
      </w:r>
      <w:proofErr w:type="spellStart"/>
      <w:r>
        <w:rPr>
          <w:rFonts w:ascii="Century-Book" w:hAnsi="Century-Book" w:cs="Century-Book"/>
          <w:sz w:val="20"/>
          <w:szCs w:val="20"/>
        </w:rPr>
        <w:t>Street</w:t>
      </w:r>
      <w:proofErr w:type="spellEnd"/>
      <w:r>
        <w:rPr>
          <w:rFonts w:ascii="Century-Book" w:hAnsi="Century-Book" w:cs="Century-Book"/>
          <w:sz w:val="20"/>
          <w:szCs w:val="20"/>
        </w:rPr>
        <w:t xml:space="preserve"> por una buena razón su inmensa capacidad de generar beneficio.  Según </w:t>
      </w:r>
      <w:proofErr w:type="spellStart"/>
      <w:r>
        <w:rPr>
          <w:rFonts w:ascii="Century-Book" w:hAnsi="Century-Book" w:cs="Century-Book"/>
          <w:sz w:val="20"/>
          <w:szCs w:val="20"/>
        </w:rPr>
        <w:t>Alpha</w:t>
      </w:r>
      <w:proofErr w:type="spellEnd"/>
      <w:r>
        <w:rPr>
          <w:rFonts w:ascii="Century-Book" w:hAnsi="Century-Book" w:cs="Century-Book"/>
          <w:sz w:val="20"/>
          <w:szCs w:val="20"/>
        </w:rPr>
        <w:t xml:space="preserve"> magazine, el mayor gestor de inversiones del 2008 fue</w:t>
      </w:r>
      <w:r w:rsidRPr="00602626">
        <w:rPr>
          <w:rFonts w:ascii="Century-Book" w:hAnsi="Century-Book" w:cs="Century-Book"/>
          <w:sz w:val="20"/>
          <w:szCs w:val="20"/>
        </w:rPr>
        <w:t xml:space="preserve"> </w:t>
      </w:r>
      <w:proofErr w:type="spellStart"/>
      <w:r w:rsidRPr="00602626">
        <w:rPr>
          <w:rFonts w:ascii="Century-Book" w:hAnsi="Century-Book" w:cs="Century-Book"/>
          <w:sz w:val="20"/>
          <w:szCs w:val="20"/>
        </w:rPr>
        <w:t>Jim</w:t>
      </w:r>
      <w:proofErr w:type="spellEnd"/>
      <w:r>
        <w:rPr>
          <w:rFonts w:ascii="Century-Book" w:hAnsi="Century-Book" w:cs="Century-Book"/>
          <w:sz w:val="20"/>
          <w:szCs w:val="20"/>
        </w:rPr>
        <w:t xml:space="preserve"> </w:t>
      </w:r>
      <w:proofErr w:type="spellStart"/>
      <w:r w:rsidRPr="00602626">
        <w:rPr>
          <w:rFonts w:ascii="Century-Book" w:hAnsi="Century-Book" w:cs="Century-Book"/>
          <w:sz w:val="20"/>
          <w:szCs w:val="20"/>
        </w:rPr>
        <w:t>Simons</w:t>
      </w:r>
      <w:proofErr w:type="spellEnd"/>
      <w:r w:rsidRPr="00602626">
        <w:rPr>
          <w:rFonts w:ascii="Century-Book" w:hAnsi="Century-Book" w:cs="Century-Book"/>
          <w:sz w:val="20"/>
          <w:szCs w:val="20"/>
        </w:rPr>
        <w:t xml:space="preserve"> de </w:t>
      </w:r>
      <w:proofErr w:type="spellStart"/>
      <w:r w:rsidRPr="00602626">
        <w:rPr>
          <w:rFonts w:ascii="Century-Book" w:hAnsi="Century-Book" w:cs="Century-Book"/>
          <w:sz w:val="20"/>
          <w:szCs w:val="20"/>
        </w:rPr>
        <w:t>Renaissance</w:t>
      </w:r>
      <w:proofErr w:type="spellEnd"/>
      <w:r w:rsidRPr="00602626">
        <w:rPr>
          <w:rFonts w:ascii="Century-Book" w:hAnsi="Century-Book" w:cs="Century-Book"/>
          <w:sz w:val="20"/>
          <w:szCs w:val="20"/>
        </w:rPr>
        <w:t xml:space="preserve"> Technologies </w:t>
      </w:r>
      <w:proofErr w:type="spellStart"/>
      <w:r w:rsidRPr="00602626">
        <w:rPr>
          <w:rFonts w:ascii="Century-Book" w:hAnsi="Century-Book" w:cs="Century-Book"/>
          <w:sz w:val="20"/>
          <w:szCs w:val="20"/>
        </w:rPr>
        <w:t>Corp</w:t>
      </w:r>
      <w:proofErr w:type="spellEnd"/>
      <w:r w:rsidRPr="00602626">
        <w:rPr>
          <w:rFonts w:ascii="Century-Book" w:hAnsi="Century-Book" w:cs="Century-Book"/>
          <w:sz w:val="20"/>
          <w:szCs w:val="20"/>
        </w:rPr>
        <w:t xml:space="preserve"> un </w:t>
      </w:r>
      <w:r>
        <w:rPr>
          <w:rFonts w:ascii="Century-Book" w:hAnsi="Century-Book" w:cs="Century-Book"/>
          <w:sz w:val="20"/>
          <w:szCs w:val="20"/>
        </w:rPr>
        <w:t xml:space="preserve">empecinado </w:t>
      </w:r>
      <w:r w:rsidRPr="00602626">
        <w:rPr>
          <w:rFonts w:ascii="Century-Book" w:hAnsi="Century-Book" w:cs="Century-Book"/>
          <w:sz w:val="20"/>
          <w:szCs w:val="20"/>
        </w:rPr>
        <w:t xml:space="preserve">defensor </w:t>
      </w:r>
      <w:r>
        <w:rPr>
          <w:rFonts w:ascii="Century-Book" w:hAnsi="Century-Book" w:cs="Century-Book"/>
          <w:sz w:val="20"/>
          <w:szCs w:val="20"/>
        </w:rPr>
        <w:t xml:space="preserve">del trading de alta frecuencia. El beneficio reportado por </w:t>
      </w:r>
      <w:proofErr w:type="spellStart"/>
      <w:r>
        <w:rPr>
          <w:rFonts w:ascii="Century-Book" w:hAnsi="Century-Book" w:cs="Century-Book"/>
          <w:sz w:val="20"/>
          <w:szCs w:val="20"/>
        </w:rPr>
        <w:t>Simons</w:t>
      </w:r>
      <w:proofErr w:type="spellEnd"/>
      <w:r>
        <w:rPr>
          <w:rFonts w:ascii="Century-Book" w:hAnsi="Century-Book" w:cs="Century-Book"/>
          <w:sz w:val="20"/>
          <w:szCs w:val="20"/>
        </w:rPr>
        <w:t xml:space="preserve"> en el 2008 fue de 2.5 </w:t>
      </w:r>
      <w:proofErr w:type="spellStart"/>
      <w:r>
        <w:rPr>
          <w:rFonts w:ascii="Century-Book" w:hAnsi="Century-Book" w:cs="Century-Book"/>
          <w:sz w:val="20"/>
          <w:szCs w:val="20"/>
        </w:rPr>
        <w:t>billones.Aunque</w:t>
      </w:r>
      <w:proofErr w:type="spellEnd"/>
      <w:r>
        <w:rPr>
          <w:rFonts w:ascii="Century-Book" w:hAnsi="Century-Book" w:cs="Century-Book"/>
          <w:sz w:val="20"/>
          <w:szCs w:val="20"/>
        </w:rPr>
        <w:t xml:space="preserve"> no hay ninguna institución que reportase concienzudamente acerca de los fondos de alta frecuencia, en el momento de escribir este libro</w:t>
      </w:r>
      <w:r w:rsidR="007C5AD6">
        <w:rPr>
          <w:rFonts w:ascii="Century-Book" w:hAnsi="Century-Book" w:cs="Century-Book"/>
          <w:sz w:val="20"/>
          <w:szCs w:val="20"/>
        </w:rPr>
        <w:t xml:space="preserve">, todas las evidencias indirectas muestran que la mayoría de los gestores de fondos de alta frecuencia están arrojando datos positivos, mientras que el 70%  de los que practican la baja frecuencia pierden dinero según el New York Times. Adicionalmente a ello la rentabilidad de los fondos y empresas de </w:t>
      </w:r>
      <w:proofErr w:type="spellStart"/>
      <w:r w:rsidR="007C5AD6">
        <w:rPr>
          <w:rFonts w:ascii="Century-Book" w:hAnsi="Century-Book" w:cs="Century-Book"/>
          <w:sz w:val="20"/>
          <w:szCs w:val="20"/>
        </w:rPr>
        <w:t>high</w:t>
      </w:r>
      <w:proofErr w:type="spellEnd"/>
      <w:r w:rsidR="007C5AD6">
        <w:rPr>
          <w:rFonts w:ascii="Century-Book" w:hAnsi="Century-Book" w:cs="Century-Book"/>
          <w:sz w:val="20"/>
          <w:szCs w:val="20"/>
        </w:rPr>
        <w:t xml:space="preserve"> </w:t>
      </w:r>
      <w:proofErr w:type="spellStart"/>
      <w:r w:rsidR="007C5AD6">
        <w:rPr>
          <w:rFonts w:ascii="Century-Book" w:hAnsi="Century-Book" w:cs="Century-Book"/>
          <w:sz w:val="20"/>
          <w:szCs w:val="20"/>
        </w:rPr>
        <w:t>frecuency</w:t>
      </w:r>
      <w:proofErr w:type="spellEnd"/>
      <w:r w:rsidR="007C5AD6">
        <w:rPr>
          <w:rFonts w:ascii="Century-Book" w:hAnsi="Century-Book" w:cs="Century-Book"/>
          <w:sz w:val="20"/>
          <w:szCs w:val="20"/>
        </w:rPr>
        <w:t xml:space="preserve"> trading viene corroborada por </w:t>
      </w:r>
      <w:proofErr w:type="gramStart"/>
      <w:r w:rsidR="007C5AD6">
        <w:rPr>
          <w:rFonts w:ascii="Century-Book" w:hAnsi="Century-Book" w:cs="Century-Book"/>
          <w:sz w:val="20"/>
          <w:szCs w:val="20"/>
        </w:rPr>
        <w:t>el crecimientos exponencial</w:t>
      </w:r>
      <w:proofErr w:type="gramEnd"/>
      <w:r w:rsidR="007C5AD6">
        <w:rPr>
          <w:rFonts w:ascii="Century-Book" w:hAnsi="Century-Book" w:cs="Century-Book"/>
          <w:sz w:val="20"/>
          <w:szCs w:val="20"/>
        </w:rPr>
        <w:t xml:space="preserve"> de esta industria. Según el informe de </w:t>
      </w:r>
      <w:proofErr w:type="spellStart"/>
      <w:r w:rsidR="007C5AD6">
        <w:rPr>
          <w:rFonts w:ascii="Century-Book" w:hAnsi="Century-Book" w:cs="Century-Book"/>
          <w:sz w:val="20"/>
          <w:szCs w:val="20"/>
        </w:rPr>
        <w:t>Aite</w:t>
      </w:r>
      <w:proofErr w:type="spellEnd"/>
      <w:r w:rsidR="007C5AD6">
        <w:rPr>
          <w:rFonts w:ascii="Century-Book" w:hAnsi="Century-Book" w:cs="Century-Book"/>
          <w:sz w:val="20"/>
          <w:szCs w:val="20"/>
        </w:rPr>
        <w:t xml:space="preserve"> </w:t>
      </w:r>
      <w:proofErr w:type="spellStart"/>
      <w:r w:rsidR="007C5AD6">
        <w:rPr>
          <w:rFonts w:ascii="Century-Book" w:hAnsi="Century-Book" w:cs="Century-Book"/>
          <w:sz w:val="20"/>
          <w:szCs w:val="20"/>
        </w:rPr>
        <w:t>Group</w:t>
      </w:r>
      <w:proofErr w:type="spellEnd"/>
      <w:r w:rsidR="007C5AD6">
        <w:rPr>
          <w:rFonts w:ascii="Century-Book" w:hAnsi="Century-Book" w:cs="Century-Book"/>
          <w:sz w:val="20"/>
          <w:szCs w:val="20"/>
        </w:rPr>
        <w:t xml:space="preserve"> el HFT supone el 60% del volumen </w:t>
      </w:r>
      <w:r w:rsidR="00E71FBE">
        <w:rPr>
          <w:rFonts w:ascii="Century-Book" w:hAnsi="Century-Book" w:cs="Century-Book"/>
          <w:sz w:val="20"/>
          <w:szCs w:val="20"/>
        </w:rPr>
        <w:t xml:space="preserve">que llega a los </w:t>
      </w:r>
      <w:proofErr w:type="spellStart"/>
      <w:r w:rsidR="00E71FBE">
        <w:rPr>
          <w:rFonts w:ascii="Century-Book" w:hAnsi="Century-Book" w:cs="Century-Book"/>
          <w:sz w:val="20"/>
          <w:szCs w:val="20"/>
        </w:rPr>
        <w:t>exgchanges</w:t>
      </w:r>
      <w:proofErr w:type="spellEnd"/>
      <w:r w:rsidR="00E71FBE">
        <w:rPr>
          <w:rFonts w:ascii="Century-Book" w:hAnsi="Century-Book" w:cs="Century-Book"/>
          <w:sz w:val="20"/>
          <w:szCs w:val="20"/>
        </w:rPr>
        <w:t xml:space="preserve"> financieros. La demanda de profesionales de HFT también va en aumento parejamente a los salarios ofrecidos.</w:t>
      </w:r>
      <w:r w:rsidR="00925A8B">
        <w:rPr>
          <w:rFonts w:ascii="Century-Book" w:hAnsi="Century-Book" w:cs="Century-Book"/>
          <w:sz w:val="20"/>
          <w:szCs w:val="20"/>
        </w:rPr>
        <w:t xml:space="preserve"> Incluso en los peores meses de la crisis del 2008 la mitad de las ofertas de trabajo </w:t>
      </w:r>
      <w:r w:rsidR="00AE2F07">
        <w:rPr>
          <w:rFonts w:ascii="Century-Book" w:hAnsi="Century-Book" w:cs="Century-Book"/>
          <w:sz w:val="20"/>
          <w:szCs w:val="20"/>
        </w:rPr>
        <w:t xml:space="preserve">para el área financiera estaban relacionadas con el HFT </w:t>
      </w:r>
      <w:r w:rsidR="00AE2F07" w:rsidRPr="00AE2F07">
        <w:rPr>
          <w:rFonts w:ascii="Century-Book" w:hAnsi="Century-Book" w:cs="Century-Book"/>
          <w:sz w:val="20"/>
          <w:szCs w:val="20"/>
        </w:rPr>
        <w:t>(</w:t>
      </w:r>
      <w:proofErr w:type="spellStart"/>
      <w:r w:rsidR="00AE2F07" w:rsidRPr="00AE2F07">
        <w:rPr>
          <w:rFonts w:ascii="Century-Book" w:hAnsi="Century-Book" w:cs="Century-Book"/>
          <w:sz w:val="20"/>
          <w:szCs w:val="20"/>
        </w:rPr>
        <w:t>Aldridge</w:t>
      </w:r>
      <w:proofErr w:type="spellEnd"/>
      <w:r w:rsidR="00AE2F07" w:rsidRPr="00AE2F07">
        <w:rPr>
          <w:rFonts w:ascii="Century-Book" w:hAnsi="Century-Book" w:cs="Century-Book"/>
          <w:sz w:val="20"/>
          <w:szCs w:val="20"/>
        </w:rPr>
        <w:t>, 2008).</w:t>
      </w:r>
      <w:r w:rsidR="00AE2F07">
        <w:rPr>
          <w:rFonts w:ascii="Century-Book" w:hAnsi="Century-Book" w:cs="Century-Book"/>
          <w:sz w:val="20"/>
          <w:szCs w:val="20"/>
        </w:rPr>
        <w:t xml:space="preserve"> Aun a pesar de la demanda de información sobre este tema, poco se ha publicado que pueda servir de ayuda a los inversores que quieran entender lo que es el HFT y diseñar e implementar un sistema HFT.</w:t>
      </w:r>
    </w:p>
    <w:p w:rsidR="00AE2F07" w:rsidRDefault="00AE2F07" w:rsidP="00602626">
      <w:pPr>
        <w:autoSpaceDE w:val="0"/>
        <w:autoSpaceDN w:val="0"/>
        <w:adjustRightInd w:val="0"/>
        <w:spacing w:after="0" w:line="240" w:lineRule="auto"/>
        <w:jc w:val="both"/>
        <w:rPr>
          <w:rFonts w:ascii="Century-Book" w:hAnsi="Century-Book" w:cs="Century-Book"/>
          <w:sz w:val="20"/>
          <w:szCs w:val="20"/>
        </w:rPr>
      </w:pPr>
    </w:p>
    <w:p w:rsidR="00AE2F07" w:rsidRPr="00AE2F07" w:rsidRDefault="00AE2F07" w:rsidP="00602626">
      <w:pPr>
        <w:autoSpaceDE w:val="0"/>
        <w:autoSpaceDN w:val="0"/>
        <w:adjustRightInd w:val="0"/>
        <w:spacing w:after="0" w:line="240" w:lineRule="auto"/>
        <w:jc w:val="both"/>
        <w:rPr>
          <w:rFonts w:ascii="Century-Book" w:hAnsi="Century-Book" w:cs="Century-Book"/>
          <w:sz w:val="20"/>
          <w:szCs w:val="20"/>
        </w:rPr>
      </w:pPr>
      <w:proofErr w:type="spellStart"/>
      <w:r>
        <w:rPr>
          <w:rFonts w:ascii="Century-Book" w:hAnsi="Century-Book" w:cs="Century-Book"/>
          <w:sz w:val="20"/>
          <w:szCs w:val="20"/>
        </w:rPr>
        <w:t>Asi</w:t>
      </w:r>
      <w:proofErr w:type="spellEnd"/>
      <w:r>
        <w:rPr>
          <w:rFonts w:ascii="Century-Book" w:hAnsi="Century-Book" w:cs="Century-Book"/>
          <w:sz w:val="20"/>
          <w:szCs w:val="20"/>
        </w:rPr>
        <w:t xml:space="preserve"> que ¿</w:t>
      </w:r>
      <w:proofErr w:type="spellStart"/>
      <w:r>
        <w:rPr>
          <w:rFonts w:ascii="Century-Book" w:hAnsi="Century-Book" w:cs="Century-Book"/>
          <w:sz w:val="20"/>
          <w:szCs w:val="20"/>
        </w:rPr>
        <w:t>que</w:t>
      </w:r>
      <w:proofErr w:type="spellEnd"/>
      <w:r>
        <w:rPr>
          <w:rFonts w:ascii="Century-Book" w:hAnsi="Century-Book" w:cs="Century-Book"/>
          <w:sz w:val="20"/>
          <w:szCs w:val="20"/>
        </w:rPr>
        <w:t xml:space="preserve"> es el </w:t>
      </w:r>
      <w:proofErr w:type="spellStart"/>
      <w:r>
        <w:rPr>
          <w:rFonts w:ascii="Century-Book" w:hAnsi="Century-Book" w:cs="Century-Book"/>
          <w:sz w:val="20"/>
          <w:szCs w:val="20"/>
        </w:rPr>
        <w:t>High</w:t>
      </w:r>
      <w:proofErr w:type="spellEnd"/>
      <w:r>
        <w:rPr>
          <w:rFonts w:ascii="Century-Book" w:hAnsi="Century-Book" w:cs="Century-Book"/>
          <w:sz w:val="20"/>
          <w:szCs w:val="20"/>
        </w:rPr>
        <w:t xml:space="preserve"> </w:t>
      </w:r>
      <w:proofErr w:type="spellStart"/>
      <w:r>
        <w:rPr>
          <w:rFonts w:ascii="Century-Book" w:hAnsi="Century-Book" w:cs="Century-Book"/>
          <w:sz w:val="20"/>
          <w:szCs w:val="20"/>
        </w:rPr>
        <w:t>Frequency</w:t>
      </w:r>
      <w:proofErr w:type="spellEnd"/>
      <w:r>
        <w:rPr>
          <w:rFonts w:ascii="Century-Book" w:hAnsi="Century-Book" w:cs="Century-Book"/>
          <w:sz w:val="20"/>
          <w:szCs w:val="20"/>
        </w:rPr>
        <w:t xml:space="preserve"> Trading y porque todo su encanto?  La principal diferencia entre el HFT y la inversión tradicional es la alta rotación de Capital en las respuestas que dan los sistemas basados en informática a las condiciones cambiantes del mercado. Las estrategias HFT se caracterizan por el alto número de operaciones</w:t>
      </w:r>
      <w:r w:rsidR="0080619B">
        <w:rPr>
          <w:rFonts w:ascii="Century-Book" w:hAnsi="Century-Book" w:cs="Century-Book"/>
          <w:sz w:val="20"/>
          <w:szCs w:val="20"/>
        </w:rPr>
        <w:t xml:space="preserve"> con una rentabilidad baja por cada una de ellas. La mayoría de los gestores tradicionales mantienen sus posiciones durante semanas o incluso meses, en comparación con esto la mayoría de los gestores HFT </w:t>
      </w:r>
      <w:r w:rsidR="00F44800">
        <w:rPr>
          <w:rFonts w:ascii="Century-Book" w:hAnsi="Century-Book" w:cs="Century-Book"/>
          <w:sz w:val="20"/>
          <w:szCs w:val="20"/>
        </w:rPr>
        <w:t>ejecutan múltiples operaciones al día, ganando en cada operación una pequeña fracción de lo que porcentualmente gana el gestor tradicional y cerrando las operaciones al finalizar la jornada.</w:t>
      </w:r>
    </w:p>
    <w:p w:rsidR="00602626" w:rsidRDefault="00602626" w:rsidP="00602626">
      <w:pPr>
        <w:autoSpaceDE w:val="0"/>
        <w:autoSpaceDN w:val="0"/>
        <w:adjustRightInd w:val="0"/>
        <w:spacing w:after="0" w:line="240" w:lineRule="auto"/>
        <w:jc w:val="both"/>
        <w:rPr>
          <w:rFonts w:ascii="Century-Book" w:hAnsi="Century-Book" w:cs="Century-Book"/>
          <w:sz w:val="20"/>
          <w:szCs w:val="20"/>
        </w:rPr>
      </w:pPr>
    </w:p>
    <w:p w:rsidR="00F44800" w:rsidRDefault="00F44800" w:rsidP="00602626">
      <w:pPr>
        <w:autoSpaceDE w:val="0"/>
        <w:autoSpaceDN w:val="0"/>
        <w:adjustRightInd w:val="0"/>
        <w:spacing w:after="0" w:line="240" w:lineRule="auto"/>
        <w:jc w:val="both"/>
        <w:rPr>
          <w:rFonts w:ascii="Century-Book" w:hAnsi="Century-Book" w:cs="Century-Book"/>
          <w:sz w:val="20"/>
          <w:szCs w:val="20"/>
        </w:rPr>
      </w:pPr>
      <w:r>
        <w:rPr>
          <w:rFonts w:ascii="Century-Book" w:hAnsi="Century-Book" w:cs="Century-Book"/>
          <w:sz w:val="20"/>
          <w:szCs w:val="20"/>
        </w:rPr>
        <w:t>La ausencia de posiciones overnight es importante para los gestores HFT por tres razones:</w:t>
      </w:r>
    </w:p>
    <w:p w:rsidR="00F44800" w:rsidRDefault="00F44800" w:rsidP="00602626">
      <w:pPr>
        <w:autoSpaceDE w:val="0"/>
        <w:autoSpaceDN w:val="0"/>
        <w:adjustRightInd w:val="0"/>
        <w:spacing w:after="0" w:line="240" w:lineRule="auto"/>
        <w:jc w:val="both"/>
        <w:rPr>
          <w:rFonts w:ascii="Century-Book" w:hAnsi="Century-Book" w:cs="Century-Book"/>
          <w:sz w:val="20"/>
          <w:szCs w:val="20"/>
        </w:rPr>
      </w:pPr>
    </w:p>
    <w:p w:rsidR="00F44800" w:rsidRDefault="00F44800" w:rsidP="002F7903">
      <w:pPr>
        <w:pStyle w:val="Prrafodelista"/>
        <w:numPr>
          <w:ilvl w:val="0"/>
          <w:numId w:val="1"/>
        </w:numPr>
        <w:autoSpaceDE w:val="0"/>
        <w:autoSpaceDN w:val="0"/>
        <w:adjustRightInd w:val="0"/>
        <w:spacing w:after="0" w:line="240" w:lineRule="auto"/>
        <w:jc w:val="both"/>
        <w:rPr>
          <w:rFonts w:ascii="Century-Book" w:hAnsi="Century-Book" w:cs="Century-Book"/>
          <w:sz w:val="20"/>
          <w:szCs w:val="20"/>
          <w:lang w:val="en-US"/>
        </w:rPr>
      </w:pPr>
      <w:r w:rsidRPr="002F7903">
        <w:rPr>
          <w:rFonts w:ascii="Century-Book" w:hAnsi="Century-Book" w:cs="Century-Book"/>
          <w:sz w:val="20"/>
          <w:szCs w:val="20"/>
        </w:rPr>
        <w:t>La continua globalización de los mercados de capitales extiende la actividad financiera a ciclos de 24 horas y con la volatilidad actual en los mercados, las posiciones overnight pueden convertirse en posiciones particularmente arriesgadas.</w:t>
      </w:r>
      <w:r w:rsidR="002F7903" w:rsidRPr="002F7903">
        <w:rPr>
          <w:rFonts w:ascii="Century-Book" w:hAnsi="Century-Book" w:cs="Century-Book"/>
          <w:sz w:val="20"/>
          <w:szCs w:val="20"/>
        </w:rPr>
        <w:t xml:space="preserve"> </w:t>
      </w:r>
      <w:r w:rsidR="002F7903" w:rsidRPr="002F7903">
        <w:rPr>
          <w:rFonts w:ascii="Century-Book" w:hAnsi="Century-Book" w:cs="Century-Book"/>
          <w:sz w:val="20"/>
          <w:szCs w:val="20"/>
          <w:lang w:val="en-US"/>
        </w:rPr>
        <w:t xml:space="preserve">Los HFT </w:t>
      </w:r>
      <w:proofErr w:type="spellStart"/>
      <w:r w:rsidR="002F7903" w:rsidRPr="002F7903">
        <w:rPr>
          <w:rFonts w:ascii="Century-Book" w:hAnsi="Century-Book" w:cs="Century-Book"/>
          <w:sz w:val="20"/>
          <w:szCs w:val="20"/>
          <w:lang w:val="en-US"/>
        </w:rPr>
        <w:t>eliminan</w:t>
      </w:r>
      <w:proofErr w:type="spellEnd"/>
      <w:r w:rsidR="002F7903" w:rsidRPr="002F7903">
        <w:rPr>
          <w:rFonts w:ascii="Century-Book" w:hAnsi="Century-Book" w:cs="Century-Book"/>
          <w:sz w:val="20"/>
          <w:szCs w:val="20"/>
          <w:lang w:val="en-US"/>
        </w:rPr>
        <w:t xml:space="preserve"> los </w:t>
      </w:r>
      <w:proofErr w:type="spellStart"/>
      <w:r w:rsidR="002F7903" w:rsidRPr="002F7903">
        <w:rPr>
          <w:rFonts w:ascii="Century-Book" w:hAnsi="Century-Book" w:cs="Century-Book"/>
          <w:sz w:val="20"/>
          <w:szCs w:val="20"/>
          <w:lang w:val="en-US"/>
        </w:rPr>
        <w:t>riesgos</w:t>
      </w:r>
      <w:proofErr w:type="spellEnd"/>
      <w:r w:rsidR="002F7903" w:rsidRPr="002F7903">
        <w:rPr>
          <w:rFonts w:ascii="Century-Book" w:hAnsi="Century-Book" w:cs="Century-Book"/>
          <w:sz w:val="20"/>
          <w:szCs w:val="20"/>
          <w:lang w:val="en-US"/>
        </w:rPr>
        <w:t xml:space="preserve"> de  overnight</w:t>
      </w:r>
    </w:p>
    <w:p w:rsidR="002F7903" w:rsidRDefault="002F7903" w:rsidP="00555B98">
      <w:pPr>
        <w:pStyle w:val="Prrafodelista"/>
        <w:numPr>
          <w:ilvl w:val="0"/>
          <w:numId w:val="1"/>
        </w:numPr>
        <w:autoSpaceDE w:val="0"/>
        <w:autoSpaceDN w:val="0"/>
        <w:adjustRightInd w:val="0"/>
        <w:spacing w:after="0" w:line="240" w:lineRule="auto"/>
        <w:jc w:val="both"/>
        <w:rPr>
          <w:rFonts w:ascii="Century-Book" w:hAnsi="Century-Book" w:cs="Century-Book"/>
          <w:sz w:val="20"/>
          <w:szCs w:val="20"/>
        </w:rPr>
      </w:pPr>
      <w:r w:rsidRPr="00555B98">
        <w:rPr>
          <w:rFonts w:ascii="Century-Book" w:hAnsi="Century-Book" w:cs="Century-Book"/>
          <w:sz w:val="20"/>
          <w:szCs w:val="20"/>
        </w:rPr>
        <w:t xml:space="preserve">Las estrategias HFT eliminan la necesidad de Capital </w:t>
      </w:r>
      <w:r w:rsidR="00555B98">
        <w:rPr>
          <w:rFonts w:ascii="Century-Book" w:hAnsi="Century-Book" w:cs="Century-Book"/>
          <w:sz w:val="20"/>
          <w:szCs w:val="20"/>
        </w:rPr>
        <w:t>permanentemente</w:t>
      </w:r>
      <w:r w:rsidR="00A971DB">
        <w:rPr>
          <w:rFonts w:ascii="Century-Book" w:hAnsi="Century-Book" w:cs="Century-Book"/>
          <w:sz w:val="20"/>
          <w:szCs w:val="20"/>
        </w:rPr>
        <w:t xml:space="preserve"> ocupado</w:t>
      </w:r>
    </w:p>
    <w:p w:rsidR="00555B98" w:rsidRPr="002F7903" w:rsidRDefault="00555B98" w:rsidP="00555B98">
      <w:pPr>
        <w:pStyle w:val="Prrafodelista"/>
        <w:numPr>
          <w:ilvl w:val="0"/>
          <w:numId w:val="1"/>
        </w:numPr>
        <w:autoSpaceDE w:val="0"/>
        <w:autoSpaceDN w:val="0"/>
        <w:adjustRightInd w:val="0"/>
        <w:spacing w:after="0" w:line="240" w:lineRule="auto"/>
        <w:jc w:val="both"/>
        <w:rPr>
          <w:rFonts w:ascii="Century-Book" w:hAnsi="Century-Book" w:cs="Century-Book"/>
          <w:sz w:val="20"/>
          <w:szCs w:val="20"/>
        </w:rPr>
      </w:pPr>
      <w:r>
        <w:rPr>
          <w:rFonts w:ascii="Century-Book" w:hAnsi="Century-Book" w:cs="Century-Book"/>
          <w:sz w:val="20"/>
          <w:szCs w:val="20"/>
        </w:rPr>
        <w:t>Las operaciones que se dejan overnight tienen coste de capital a tipo algo por encima del LIBOR lo que puede dejar sin control exacto a muchas operaciones ya que el LIBOR fluctúa y por</w:t>
      </w:r>
      <w:r w:rsidR="00A971DB">
        <w:rPr>
          <w:rFonts w:ascii="Century-Book" w:hAnsi="Century-Book" w:cs="Century-Book"/>
          <w:sz w:val="20"/>
          <w:szCs w:val="20"/>
        </w:rPr>
        <w:t xml:space="preserve"> </w:t>
      </w:r>
      <w:r>
        <w:rPr>
          <w:rFonts w:ascii="Century-Book" w:hAnsi="Century-Book" w:cs="Century-Book"/>
          <w:sz w:val="20"/>
          <w:szCs w:val="20"/>
        </w:rPr>
        <w:t xml:space="preserve">tanto los costes de dejar posiciones abiertas de un </w:t>
      </w:r>
      <w:proofErr w:type="spellStart"/>
      <w:r>
        <w:rPr>
          <w:rFonts w:ascii="Century-Book" w:hAnsi="Century-Book" w:cs="Century-Book"/>
          <w:sz w:val="20"/>
          <w:szCs w:val="20"/>
        </w:rPr>
        <w:t>dia</w:t>
      </w:r>
      <w:proofErr w:type="spellEnd"/>
      <w:r>
        <w:rPr>
          <w:rFonts w:ascii="Century-Book" w:hAnsi="Century-Book" w:cs="Century-Book"/>
          <w:sz w:val="20"/>
          <w:szCs w:val="20"/>
        </w:rPr>
        <w:t xml:space="preserve"> para otro también </w:t>
      </w:r>
      <w:proofErr w:type="spellStart"/>
      <w:r>
        <w:rPr>
          <w:rFonts w:ascii="Century-Book" w:hAnsi="Century-Book" w:cs="Century-Book"/>
          <w:sz w:val="20"/>
          <w:szCs w:val="20"/>
        </w:rPr>
        <w:t>flucutan</w:t>
      </w:r>
      <w:proofErr w:type="spellEnd"/>
      <w:r>
        <w:rPr>
          <w:rFonts w:ascii="Century-Book" w:hAnsi="Century-Book" w:cs="Century-Book"/>
          <w:sz w:val="20"/>
          <w:szCs w:val="20"/>
        </w:rPr>
        <w:t>.  Además esos costes financieros disminuyen la rentabilidad de muchas operaciones, llegando incluso a elimin</w:t>
      </w:r>
      <w:r w:rsidR="00A971DB">
        <w:rPr>
          <w:rFonts w:ascii="Century-Book" w:hAnsi="Century-Book" w:cs="Century-Book"/>
          <w:sz w:val="20"/>
          <w:szCs w:val="20"/>
        </w:rPr>
        <w:t>a</w:t>
      </w:r>
      <w:r>
        <w:rPr>
          <w:rFonts w:ascii="Century-Book" w:hAnsi="Century-Book" w:cs="Century-Book"/>
          <w:sz w:val="20"/>
          <w:szCs w:val="20"/>
        </w:rPr>
        <w:t>rla en muchos casos.</w:t>
      </w:r>
    </w:p>
    <w:p w:rsidR="00F44800" w:rsidRPr="002F7903" w:rsidRDefault="00F44800" w:rsidP="00602626">
      <w:pPr>
        <w:autoSpaceDE w:val="0"/>
        <w:autoSpaceDN w:val="0"/>
        <w:adjustRightInd w:val="0"/>
        <w:spacing w:after="0" w:line="240" w:lineRule="auto"/>
        <w:jc w:val="both"/>
        <w:rPr>
          <w:rFonts w:ascii="Century-Book" w:hAnsi="Century-Book" w:cs="Century-Book"/>
          <w:sz w:val="20"/>
          <w:szCs w:val="20"/>
        </w:rPr>
      </w:pPr>
    </w:p>
    <w:p w:rsidR="00915F97" w:rsidRDefault="00915F97" w:rsidP="007F6D73">
      <w:pPr>
        <w:autoSpaceDE w:val="0"/>
        <w:autoSpaceDN w:val="0"/>
        <w:adjustRightInd w:val="0"/>
        <w:spacing w:after="0" w:line="240" w:lineRule="auto"/>
        <w:rPr>
          <w:rFonts w:ascii="Century-Book" w:hAnsi="Century-Book" w:cs="Century-Book"/>
          <w:sz w:val="20"/>
          <w:szCs w:val="20"/>
        </w:rPr>
      </w:pPr>
      <w:r>
        <w:rPr>
          <w:rFonts w:ascii="Century-Book" w:hAnsi="Century-Book" w:cs="Century-Book"/>
          <w:sz w:val="20"/>
          <w:szCs w:val="20"/>
        </w:rPr>
        <w:t>Otras ventajas de l</w:t>
      </w:r>
      <w:r w:rsidRPr="00915F97">
        <w:rPr>
          <w:rFonts w:ascii="Century-Book" w:hAnsi="Century-Book" w:cs="Century-Book"/>
          <w:sz w:val="20"/>
          <w:szCs w:val="20"/>
        </w:rPr>
        <w:t xml:space="preserve">as estrategias HFT </w:t>
      </w:r>
      <w:r>
        <w:rPr>
          <w:rFonts w:ascii="Century-Book" w:hAnsi="Century-Book" w:cs="Century-Book"/>
          <w:sz w:val="20"/>
          <w:szCs w:val="20"/>
        </w:rPr>
        <w:t xml:space="preserve">es que </w:t>
      </w:r>
      <w:r w:rsidRPr="00915F97">
        <w:rPr>
          <w:rFonts w:ascii="Century-Book" w:hAnsi="Century-Book" w:cs="Century-Book"/>
          <w:sz w:val="20"/>
          <w:szCs w:val="20"/>
        </w:rPr>
        <w:t>tienen poca o ninguna correlaci</w:t>
      </w:r>
      <w:r>
        <w:rPr>
          <w:rFonts w:ascii="Century-Book" w:hAnsi="Century-Book" w:cs="Century-Book"/>
          <w:sz w:val="20"/>
          <w:szCs w:val="20"/>
        </w:rPr>
        <w:t xml:space="preserve">ón con la inversión Swing o con la inversión Long </w:t>
      </w:r>
      <w:proofErr w:type="spellStart"/>
      <w:r>
        <w:rPr>
          <w:rFonts w:ascii="Century-Book" w:hAnsi="Century-Book" w:cs="Century-Book"/>
          <w:sz w:val="20"/>
          <w:szCs w:val="20"/>
        </w:rPr>
        <w:t>Term</w:t>
      </w:r>
      <w:proofErr w:type="spellEnd"/>
      <w:r>
        <w:rPr>
          <w:rFonts w:ascii="Century-Book" w:hAnsi="Century-Book" w:cs="Century-Book"/>
          <w:sz w:val="20"/>
          <w:szCs w:val="20"/>
        </w:rPr>
        <w:t xml:space="preserve"> y por tanto son buenos sistemas para conseguir diversificación de carteras. Por las características </w:t>
      </w:r>
      <w:r w:rsidR="00A776AA">
        <w:rPr>
          <w:rFonts w:ascii="Century-Book" w:hAnsi="Century-Book" w:cs="Century-Book"/>
          <w:sz w:val="20"/>
          <w:szCs w:val="20"/>
        </w:rPr>
        <w:t>estadí</w:t>
      </w:r>
      <w:r>
        <w:rPr>
          <w:rFonts w:ascii="Century-Book" w:hAnsi="Century-Book" w:cs="Century-Book"/>
          <w:sz w:val="20"/>
          <w:szCs w:val="20"/>
        </w:rPr>
        <w:t>sticas propias del HFT, sus periodos de evaluación son menores</w:t>
      </w:r>
      <w:r w:rsidR="00A776AA">
        <w:rPr>
          <w:rFonts w:ascii="Century-Book" w:hAnsi="Century-Book" w:cs="Century-Book"/>
          <w:sz w:val="20"/>
          <w:szCs w:val="20"/>
        </w:rPr>
        <w:t xml:space="preserve"> en torno a un mes.</w:t>
      </w:r>
    </w:p>
    <w:p w:rsidR="00915F97" w:rsidRDefault="00A776AA" w:rsidP="007F6D73">
      <w:pPr>
        <w:autoSpaceDE w:val="0"/>
        <w:autoSpaceDN w:val="0"/>
        <w:adjustRightInd w:val="0"/>
        <w:spacing w:after="0" w:line="240" w:lineRule="auto"/>
        <w:rPr>
          <w:rFonts w:ascii="Century-Book" w:hAnsi="Century-Book" w:cs="Century-Book"/>
          <w:sz w:val="20"/>
          <w:szCs w:val="20"/>
        </w:rPr>
      </w:pPr>
      <w:r>
        <w:rPr>
          <w:rFonts w:ascii="Century-Book" w:hAnsi="Century-Book" w:cs="Century-Book"/>
          <w:sz w:val="20"/>
          <w:szCs w:val="20"/>
        </w:rPr>
        <w:t xml:space="preserve">Existen otros beneficios más genéricos </w:t>
      </w:r>
      <w:proofErr w:type="gramStart"/>
      <w:r>
        <w:rPr>
          <w:rFonts w:ascii="Century-Book" w:hAnsi="Century-Book" w:cs="Century-Book"/>
          <w:sz w:val="20"/>
          <w:szCs w:val="20"/>
        </w:rPr>
        <w:t>como :</w:t>
      </w:r>
      <w:proofErr w:type="gramEnd"/>
    </w:p>
    <w:p w:rsidR="00A776AA" w:rsidRDefault="00A776AA" w:rsidP="00A776AA">
      <w:pPr>
        <w:pStyle w:val="Prrafodelista"/>
        <w:numPr>
          <w:ilvl w:val="0"/>
          <w:numId w:val="2"/>
        </w:numPr>
        <w:autoSpaceDE w:val="0"/>
        <w:autoSpaceDN w:val="0"/>
        <w:adjustRightInd w:val="0"/>
        <w:spacing w:after="0" w:line="240" w:lineRule="auto"/>
        <w:rPr>
          <w:rFonts w:ascii="Century-Book" w:hAnsi="Century-Book" w:cs="Century-Book"/>
          <w:sz w:val="20"/>
          <w:szCs w:val="20"/>
        </w:rPr>
      </w:pPr>
      <w:r>
        <w:rPr>
          <w:rFonts w:ascii="Century-Book" w:hAnsi="Century-Book" w:cs="Century-Book"/>
          <w:sz w:val="20"/>
          <w:szCs w:val="20"/>
        </w:rPr>
        <w:t>Incremento de la eficiencia de los mercados</w:t>
      </w:r>
    </w:p>
    <w:p w:rsidR="00A776AA" w:rsidRDefault="00A776AA" w:rsidP="00A776AA">
      <w:pPr>
        <w:pStyle w:val="Prrafodelista"/>
        <w:numPr>
          <w:ilvl w:val="0"/>
          <w:numId w:val="2"/>
        </w:numPr>
        <w:autoSpaceDE w:val="0"/>
        <w:autoSpaceDN w:val="0"/>
        <w:adjustRightInd w:val="0"/>
        <w:spacing w:after="0" w:line="240" w:lineRule="auto"/>
        <w:rPr>
          <w:rFonts w:ascii="Century-Book" w:hAnsi="Century-Book" w:cs="Century-Book"/>
          <w:sz w:val="20"/>
          <w:szCs w:val="20"/>
        </w:rPr>
      </w:pPr>
      <w:r>
        <w:rPr>
          <w:rFonts w:ascii="Century-Book" w:hAnsi="Century-Book" w:cs="Century-Book"/>
          <w:sz w:val="20"/>
          <w:szCs w:val="20"/>
        </w:rPr>
        <w:t>Incremento de la liquidez</w:t>
      </w:r>
    </w:p>
    <w:p w:rsidR="00A776AA" w:rsidRDefault="00A776AA" w:rsidP="00A776AA">
      <w:pPr>
        <w:pStyle w:val="Prrafodelista"/>
        <w:numPr>
          <w:ilvl w:val="0"/>
          <w:numId w:val="2"/>
        </w:numPr>
        <w:autoSpaceDE w:val="0"/>
        <w:autoSpaceDN w:val="0"/>
        <w:adjustRightInd w:val="0"/>
        <w:spacing w:after="0" w:line="240" w:lineRule="auto"/>
        <w:rPr>
          <w:rFonts w:ascii="Century-Book" w:hAnsi="Century-Book" w:cs="Century-Book"/>
          <w:sz w:val="20"/>
          <w:szCs w:val="20"/>
        </w:rPr>
      </w:pPr>
      <w:r>
        <w:rPr>
          <w:rFonts w:ascii="Century-Book" w:hAnsi="Century-Book" w:cs="Century-Book"/>
          <w:sz w:val="20"/>
          <w:szCs w:val="20"/>
        </w:rPr>
        <w:t>Innovación tecnológica</w:t>
      </w:r>
    </w:p>
    <w:p w:rsidR="00A776AA" w:rsidRPr="00A776AA" w:rsidRDefault="00A776AA" w:rsidP="00A776AA">
      <w:pPr>
        <w:pStyle w:val="Prrafodelista"/>
        <w:numPr>
          <w:ilvl w:val="0"/>
          <w:numId w:val="2"/>
        </w:numPr>
        <w:autoSpaceDE w:val="0"/>
        <w:autoSpaceDN w:val="0"/>
        <w:adjustRightInd w:val="0"/>
        <w:spacing w:after="0" w:line="240" w:lineRule="auto"/>
        <w:rPr>
          <w:rFonts w:ascii="Century-Book" w:hAnsi="Century-Book" w:cs="Century-Book"/>
          <w:sz w:val="20"/>
          <w:szCs w:val="20"/>
        </w:rPr>
      </w:pPr>
      <w:r>
        <w:rPr>
          <w:rFonts w:ascii="Century-Book" w:hAnsi="Century-Book" w:cs="Century-Book"/>
          <w:sz w:val="20"/>
          <w:szCs w:val="20"/>
        </w:rPr>
        <w:t>Estabilización de los mercados</w:t>
      </w:r>
    </w:p>
    <w:p w:rsidR="00A776AA" w:rsidRPr="00A776AA" w:rsidRDefault="00A776AA" w:rsidP="007F6D73">
      <w:pPr>
        <w:autoSpaceDE w:val="0"/>
        <w:autoSpaceDN w:val="0"/>
        <w:adjustRightInd w:val="0"/>
        <w:spacing w:after="0" w:line="240" w:lineRule="auto"/>
        <w:rPr>
          <w:rFonts w:ascii="Century-Book" w:hAnsi="Century-Book" w:cs="Century-Book"/>
          <w:sz w:val="20"/>
          <w:szCs w:val="20"/>
        </w:rPr>
      </w:pPr>
    </w:p>
    <w:p w:rsidR="00A776AA" w:rsidRDefault="00A776AA" w:rsidP="00E77F93">
      <w:pPr>
        <w:autoSpaceDE w:val="0"/>
        <w:autoSpaceDN w:val="0"/>
        <w:adjustRightInd w:val="0"/>
        <w:spacing w:after="0" w:line="240" w:lineRule="auto"/>
        <w:jc w:val="both"/>
        <w:rPr>
          <w:rFonts w:ascii="Century-Book" w:hAnsi="Century-Book" w:cs="Century-Book"/>
          <w:sz w:val="20"/>
          <w:szCs w:val="20"/>
        </w:rPr>
      </w:pPr>
      <w:r w:rsidRPr="00A776AA">
        <w:rPr>
          <w:rFonts w:ascii="Century-Book" w:hAnsi="Century-Book" w:cs="Century-Book"/>
          <w:sz w:val="20"/>
          <w:szCs w:val="20"/>
        </w:rPr>
        <w:t xml:space="preserve">Las estrategias HFT identifican y operan </w:t>
      </w:r>
      <w:r>
        <w:rPr>
          <w:rFonts w:ascii="Century-Book" w:hAnsi="Century-Book" w:cs="Century-Book"/>
          <w:sz w:val="20"/>
          <w:szCs w:val="20"/>
        </w:rPr>
        <w:t xml:space="preserve">ineficiencias temporales del mercado y se incautan de información sobre los precios </w:t>
      </w:r>
      <w:proofErr w:type="spellStart"/>
      <w:proofErr w:type="gramStart"/>
      <w:r>
        <w:rPr>
          <w:rFonts w:ascii="Century-Book" w:hAnsi="Century-Book" w:cs="Century-Book"/>
          <w:sz w:val="20"/>
          <w:szCs w:val="20"/>
        </w:rPr>
        <w:t>mas</w:t>
      </w:r>
      <w:proofErr w:type="spellEnd"/>
      <w:proofErr w:type="gramEnd"/>
      <w:r>
        <w:rPr>
          <w:rFonts w:ascii="Century-Book" w:hAnsi="Century-Book" w:cs="Century-Book"/>
          <w:sz w:val="20"/>
          <w:szCs w:val="20"/>
        </w:rPr>
        <w:t xml:space="preserve"> rápidamente. Muchas de las estrategias HFT otorgan a muchos mercados una liquidez </w:t>
      </w:r>
      <w:proofErr w:type="spellStart"/>
      <w:proofErr w:type="gramStart"/>
      <w:r>
        <w:rPr>
          <w:rFonts w:ascii="Century-Book" w:hAnsi="Century-Book" w:cs="Century-Book"/>
          <w:sz w:val="20"/>
          <w:szCs w:val="20"/>
        </w:rPr>
        <w:t>mas</w:t>
      </w:r>
      <w:proofErr w:type="spellEnd"/>
      <w:proofErr w:type="gramEnd"/>
      <w:r>
        <w:rPr>
          <w:rFonts w:ascii="Century-Book" w:hAnsi="Century-Book" w:cs="Century-Book"/>
          <w:sz w:val="20"/>
          <w:szCs w:val="20"/>
        </w:rPr>
        <w:t xml:space="preserve"> que significativa</w:t>
      </w:r>
      <w:r w:rsidR="00E77F93">
        <w:rPr>
          <w:rFonts w:ascii="Century-Book" w:hAnsi="Century-Book" w:cs="Century-Book"/>
          <w:sz w:val="20"/>
          <w:szCs w:val="20"/>
        </w:rPr>
        <w:t>, mejorando su funcionamiento.</w:t>
      </w:r>
    </w:p>
    <w:p w:rsidR="00E77F93" w:rsidRDefault="00E77F93" w:rsidP="00E77F93">
      <w:pPr>
        <w:autoSpaceDE w:val="0"/>
        <w:autoSpaceDN w:val="0"/>
        <w:adjustRightInd w:val="0"/>
        <w:spacing w:after="0" w:line="240" w:lineRule="auto"/>
        <w:jc w:val="both"/>
        <w:rPr>
          <w:rFonts w:ascii="Century-Book" w:hAnsi="Century-Book" w:cs="Century-Book"/>
          <w:sz w:val="20"/>
          <w:szCs w:val="20"/>
        </w:rPr>
      </w:pPr>
    </w:p>
    <w:p w:rsidR="00E77F93" w:rsidRDefault="00E77F93" w:rsidP="00E77F93">
      <w:pPr>
        <w:autoSpaceDE w:val="0"/>
        <w:autoSpaceDN w:val="0"/>
        <w:adjustRightInd w:val="0"/>
        <w:spacing w:after="0" w:line="240" w:lineRule="auto"/>
        <w:jc w:val="both"/>
        <w:rPr>
          <w:rFonts w:ascii="Century-Book" w:hAnsi="Century-Book" w:cs="Century-Book"/>
          <w:sz w:val="20"/>
          <w:szCs w:val="20"/>
        </w:rPr>
      </w:pPr>
      <w:r>
        <w:rPr>
          <w:rFonts w:ascii="Century-Book" w:hAnsi="Century-Book" w:cs="Century-Book"/>
          <w:sz w:val="20"/>
          <w:szCs w:val="20"/>
        </w:rPr>
        <w:t xml:space="preserve">Muchos sistemas HFT funcionan en </w:t>
      </w:r>
      <w:proofErr w:type="spellStart"/>
      <w:r>
        <w:rPr>
          <w:rFonts w:ascii="Century-Book" w:hAnsi="Century-Book" w:cs="Century-Book"/>
          <w:sz w:val="20"/>
          <w:szCs w:val="20"/>
        </w:rPr>
        <w:t>Forex</w:t>
      </w:r>
      <w:proofErr w:type="spellEnd"/>
      <w:r>
        <w:rPr>
          <w:rFonts w:ascii="Century-Book" w:hAnsi="Century-Book" w:cs="Century-Book"/>
          <w:sz w:val="20"/>
          <w:szCs w:val="20"/>
        </w:rPr>
        <w:t xml:space="preserve">, Stock, Futuros y Derivados, por su propia naturaleza esta operativa puede ser aplicada a cualquier tipo de instrumento financiero con tal de que </w:t>
      </w:r>
      <w:r w:rsidR="00DC75D3">
        <w:rPr>
          <w:rFonts w:ascii="Century-Book" w:hAnsi="Century-Book" w:cs="Century-Book"/>
          <w:sz w:val="20"/>
          <w:szCs w:val="20"/>
        </w:rPr>
        <w:t xml:space="preserve">tenga suficiente liquidez. </w:t>
      </w:r>
    </w:p>
    <w:p w:rsidR="00A776AA" w:rsidRPr="00DC75D3" w:rsidRDefault="00DC75D3" w:rsidP="00DC75D3">
      <w:pPr>
        <w:autoSpaceDE w:val="0"/>
        <w:autoSpaceDN w:val="0"/>
        <w:adjustRightInd w:val="0"/>
        <w:spacing w:after="0" w:line="240" w:lineRule="auto"/>
        <w:jc w:val="both"/>
        <w:rPr>
          <w:rFonts w:ascii="Century-Book" w:hAnsi="Century-Book" w:cs="Century-Book"/>
          <w:sz w:val="20"/>
          <w:szCs w:val="20"/>
        </w:rPr>
      </w:pPr>
      <w:r>
        <w:rPr>
          <w:rFonts w:ascii="Century-Book" w:hAnsi="Century-Book" w:cs="Century-Book"/>
          <w:sz w:val="20"/>
          <w:szCs w:val="20"/>
        </w:rPr>
        <w:t xml:space="preserve">Los sistemas HFT pueden funcionar las 24 horas del día. </w:t>
      </w:r>
      <w:r w:rsidRPr="00DC75D3">
        <w:rPr>
          <w:rFonts w:ascii="Century-Book" w:hAnsi="Century-Book" w:cs="Century-Book"/>
          <w:sz w:val="20"/>
          <w:szCs w:val="20"/>
        </w:rPr>
        <w:t>Muchas empresas HFT está</w:t>
      </w:r>
      <w:r>
        <w:rPr>
          <w:rFonts w:ascii="Century-Book" w:hAnsi="Century-Book" w:cs="Century-Book"/>
          <w:sz w:val="20"/>
          <w:szCs w:val="20"/>
        </w:rPr>
        <w:t xml:space="preserve">n </w:t>
      </w:r>
      <w:r w:rsidRPr="00DC75D3">
        <w:rPr>
          <w:rFonts w:ascii="Century-Book" w:hAnsi="Century-Book" w:cs="Century-Book"/>
          <w:sz w:val="20"/>
          <w:szCs w:val="20"/>
        </w:rPr>
        <w:t xml:space="preserve">localizadas en </w:t>
      </w:r>
    </w:p>
    <w:p w:rsidR="00DC75D3" w:rsidRDefault="007F6D73" w:rsidP="00DC75D3">
      <w:pPr>
        <w:autoSpaceDE w:val="0"/>
        <w:autoSpaceDN w:val="0"/>
        <w:adjustRightInd w:val="0"/>
        <w:spacing w:after="0" w:line="240" w:lineRule="auto"/>
        <w:jc w:val="both"/>
        <w:rPr>
          <w:rFonts w:ascii="Century-Book" w:hAnsi="Century-Book" w:cs="Century-Book"/>
          <w:sz w:val="20"/>
          <w:szCs w:val="20"/>
        </w:rPr>
      </w:pPr>
      <w:r w:rsidRPr="007F6D73">
        <w:rPr>
          <w:rFonts w:ascii="Century-Book" w:hAnsi="Century-Book" w:cs="Century-Book"/>
          <w:sz w:val="20"/>
          <w:szCs w:val="20"/>
          <w:lang w:val="en-US"/>
        </w:rPr>
        <w:lastRenderedPageBreak/>
        <w:t>New York, Connecticut,</w:t>
      </w:r>
      <w:r w:rsidR="00DC75D3">
        <w:rPr>
          <w:rFonts w:ascii="Century-Book" w:hAnsi="Century-Book" w:cs="Century-Book"/>
          <w:sz w:val="20"/>
          <w:szCs w:val="20"/>
          <w:lang w:val="en-US"/>
        </w:rPr>
        <w:t xml:space="preserve"> </w:t>
      </w:r>
      <w:proofErr w:type="spellStart"/>
      <w:r w:rsidR="00DC75D3">
        <w:rPr>
          <w:rFonts w:ascii="Century-Book" w:hAnsi="Century-Book" w:cs="Century-Book"/>
          <w:sz w:val="20"/>
          <w:szCs w:val="20"/>
          <w:lang w:val="en-US"/>
        </w:rPr>
        <w:t>Londres</w:t>
      </w:r>
      <w:proofErr w:type="spellEnd"/>
      <w:r w:rsidR="00DC75D3">
        <w:rPr>
          <w:rFonts w:ascii="Century-Book" w:hAnsi="Century-Book" w:cs="Century-Book"/>
          <w:sz w:val="20"/>
          <w:szCs w:val="20"/>
          <w:lang w:val="en-US"/>
        </w:rPr>
        <w:t>, Singapore y</w:t>
      </w:r>
      <w:r w:rsidRPr="007F6D73">
        <w:rPr>
          <w:rFonts w:ascii="Century-Book" w:hAnsi="Century-Book" w:cs="Century-Book"/>
          <w:sz w:val="20"/>
          <w:szCs w:val="20"/>
          <w:lang w:val="en-US"/>
        </w:rPr>
        <w:t xml:space="preserve"> Chicago. </w:t>
      </w:r>
      <w:r w:rsidRPr="00DC75D3">
        <w:rPr>
          <w:rFonts w:ascii="Century-Book" w:hAnsi="Century-Book" w:cs="Century-Book"/>
          <w:sz w:val="20"/>
          <w:szCs w:val="20"/>
        </w:rPr>
        <w:t>M</w:t>
      </w:r>
      <w:r w:rsidR="00DC75D3" w:rsidRPr="00DC75D3">
        <w:rPr>
          <w:rFonts w:ascii="Century-Book" w:hAnsi="Century-Book" w:cs="Century-Book"/>
          <w:sz w:val="20"/>
          <w:szCs w:val="20"/>
        </w:rPr>
        <w:t xml:space="preserve">uchas de las que están en </w:t>
      </w:r>
      <w:r w:rsidRPr="00DC75D3">
        <w:rPr>
          <w:rFonts w:ascii="Century-Book" w:hAnsi="Century-Book" w:cs="Century-Book"/>
          <w:sz w:val="20"/>
          <w:szCs w:val="20"/>
        </w:rPr>
        <w:t xml:space="preserve">Chicago </w:t>
      </w:r>
      <w:proofErr w:type="gramStart"/>
      <w:r w:rsidR="00DC75D3">
        <w:rPr>
          <w:rFonts w:ascii="Century-Book" w:hAnsi="Century-Book" w:cs="Century-Book"/>
          <w:sz w:val="20"/>
          <w:szCs w:val="20"/>
        </w:rPr>
        <w:t>tiene</w:t>
      </w:r>
      <w:proofErr w:type="gramEnd"/>
      <w:r w:rsidR="00DC75D3">
        <w:rPr>
          <w:rFonts w:ascii="Century-Book" w:hAnsi="Century-Book" w:cs="Century-Book"/>
          <w:sz w:val="20"/>
          <w:szCs w:val="20"/>
        </w:rPr>
        <w:t xml:space="preserve"> sus locales muy próximos al Centro de Proceso de Datos del CME. Las ubicadas en New York y </w:t>
      </w:r>
      <w:proofErr w:type="spellStart"/>
      <w:r w:rsidR="00DC75D3">
        <w:rPr>
          <w:rFonts w:ascii="Century-Book" w:hAnsi="Century-Book" w:cs="Century-Book"/>
          <w:sz w:val="20"/>
          <w:szCs w:val="20"/>
        </w:rPr>
        <w:t>Conneticut</w:t>
      </w:r>
      <w:proofErr w:type="spellEnd"/>
      <w:r w:rsidR="00DC75D3">
        <w:rPr>
          <w:rFonts w:ascii="Century-Book" w:hAnsi="Century-Book" w:cs="Century-Book"/>
          <w:sz w:val="20"/>
          <w:szCs w:val="20"/>
        </w:rPr>
        <w:t xml:space="preserve"> tienden a ser </w:t>
      </w:r>
      <w:proofErr w:type="gramStart"/>
      <w:r w:rsidR="00DC75D3">
        <w:rPr>
          <w:rFonts w:ascii="Century-Book" w:hAnsi="Century-Book" w:cs="Century-Book"/>
          <w:sz w:val="20"/>
          <w:szCs w:val="20"/>
        </w:rPr>
        <w:t>mas</w:t>
      </w:r>
      <w:proofErr w:type="gramEnd"/>
      <w:r w:rsidR="00DC75D3">
        <w:rPr>
          <w:rFonts w:ascii="Century-Book" w:hAnsi="Century-Book" w:cs="Century-Book"/>
          <w:sz w:val="20"/>
          <w:szCs w:val="20"/>
        </w:rPr>
        <w:t xml:space="preserve"> generalistas y suelen trabajar con Stocks norteamericanos. Las firmas HFT ubicadas en Londres suelen trabajar tato </w:t>
      </w:r>
      <w:proofErr w:type="gramStart"/>
      <w:r w:rsidR="00DC75D3">
        <w:rPr>
          <w:rFonts w:ascii="Century-Book" w:hAnsi="Century-Book" w:cs="Century-Book"/>
          <w:sz w:val="20"/>
          <w:szCs w:val="20"/>
        </w:rPr>
        <w:t>stocks europeo</w:t>
      </w:r>
      <w:proofErr w:type="gramEnd"/>
      <w:r w:rsidR="00DC75D3">
        <w:rPr>
          <w:rFonts w:ascii="Century-Book" w:hAnsi="Century-Book" w:cs="Century-Book"/>
          <w:sz w:val="20"/>
          <w:szCs w:val="20"/>
        </w:rPr>
        <w:t xml:space="preserve"> como </w:t>
      </w:r>
      <w:proofErr w:type="spellStart"/>
      <w:r w:rsidR="00DC75D3">
        <w:rPr>
          <w:rFonts w:ascii="Century-Book" w:hAnsi="Century-Book" w:cs="Century-Book"/>
          <w:sz w:val="20"/>
          <w:szCs w:val="20"/>
        </w:rPr>
        <w:t>Forex</w:t>
      </w:r>
      <w:proofErr w:type="spellEnd"/>
      <w:r w:rsidR="00DC75D3">
        <w:rPr>
          <w:rFonts w:ascii="Century-Book" w:hAnsi="Century-Book" w:cs="Century-Book"/>
          <w:sz w:val="20"/>
          <w:szCs w:val="20"/>
        </w:rPr>
        <w:t xml:space="preserve">  y las ubicadas en </w:t>
      </w:r>
      <w:proofErr w:type="spellStart"/>
      <w:r w:rsidR="00DC75D3">
        <w:rPr>
          <w:rFonts w:ascii="Century-Book" w:hAnsi="Century-Book" w:cs="Century-Book"/>
          <w:sz w:val="20"/>
          <w:szCs w:val="20"/>
        </w:rPr>
        <w:t>Singapore</w:t>
      </w:r>
      <w:proofErr w:type="spellEnd"/>
      <w:r w:rsidR="00DC75D3">
        <w:rPr>
          <w:rFonts w:ascii="Century-Book" w:hAnsi="Century-Book" w:cs="Century-Book"/>
          <w:sz w:val="20"/>
          <w:szCs w:val="20"/>
        </w:rPr>
        <w:t xml:space="preserve"> se suelen dedicar a</w:t>
      </w:r>
      <w:r w:rsidR="003235B2">
        <w:rPr>
          <w:rFonts w:ascii="Century-Book" w:hAnsi="Century-Book" w:cs="Century-Book"/>
          <w:sz w:val="20"/>
          <w:szCs w:val="20"/>
        </w:rPr>
        <w:t xml:space="preserve"> los mercados asiáticos</w:t>
      </w:r>
      <w:r w:rsidR="00DC75D3">
        <w:rPr>
          <w:rFonts w:ascii="Century-Book" w:hAnsi="Century-Book" w:cs="Century-Book"/>
          <w:sz w:val="20"/>
          <w:szCs w:val="20"/>
        </w:rPr>
        <w:t xml:space="preserve"> </w:t>
      </w:r>
    </w:p>
    <w:p w:rsidR="00DC75D3" w:rsidRDefault="00DC75D3" w:rsidP="007F6D73">
      <w:pPr>
        <w:autoSpaceDE w:val="0"/>
        <w:autoSpaceDN w:val="0"/>
        <w:adjustRightInd w:val="0"/>
        <w:spacing w:after="0" w:line="240" w:lineRule="auto"/>
        <w:rPr>
          <w:rFonts w:ascii="Century-Book" w:hAnsi="Century-Book" w:cs="Century-Book"/>
          <w:sz w:val="20"/>
          <w:szCs w:val="20"/>
        </w:rPr>
      </w:pPr>
    </w:p>
    <w:p w:rsidR="003E1EBF" w:rsidRDefault="003235B2" w:rsidP="003E1EBF">
      <w:pPr>
        <w:autoSpaceDE w:val="0"/>
        <w:autoSpaceDN w:val="0"/>
        <w:adjustRightInd w:val="0"/>
        <w:spacing w:after="0" w:line="240" w:lineRule="auto"/>
        <w:jc w:val="both"/>
        <w:rPr>
          <w:rFonts w:ascii="Century-Book" w:hAnsi="Century-Book" w:cs="Century-Book"/>
          <w:sz w:val="20"/>
          <w:szCs w:val="20"/>
        </w:rPr>
      </w:pPr>
      <w:r w:rsidRPr="003235B2">
        <w:rPr>
          <w:rFonts w:ascii="Century-Book" w:hAnsi="Century-Book" w:cs="Century-Book"/>
          <w:sz w:val="20"/>
          <w:szCs w:val="20"/>
        </w:rPr>
        <w:t xml:space="preserve">Algunas de las empresas </w:t>
      </w:r>
      <w:proofErr w:type="spellStart"/>
      <w:proofErr w:type="gramStart"/>
      <w:r w:rsidRPr="003235B2">
        <w:rPr>
          <w:rFonts w:ascii="Century-Book" w:hAnsi="Century-Book" w:cs="Century-Book"/>
          <w:sz w:val="20"/>
          <w:szCs w:val="20"/>
        </w:rPr>
        <w:t>mas</w:t>
      </w:r>
      <w:proofErr w:type="spellEnd"/>
      <w:proofErr w:type="gramEnd"/>
      <w:r w:rsidRPr="003235B2">
        <w:rPr>
          <w:rFonts w:ascii="Century-Book" w:hAnsi="Century-Book" w:cs="Century-Book"/>
          <w:sz w:val="20"/>
          <w:szCs w:val="20"/>
        </w:rPr>
        <w:t xml:space="preserve"> conocidas a nivel mundial </w:t>
      </w:r>
      <w:r>
        <w:rPr>
          <w:rFonts w:ascii="Century-Book" w:hAnsi="Century-Book" w:cs="Century-Book"/>
          <w:sz w:val="20"/>
          <w:szCs w:val="20"/>
        </w:rPr>
        <w:t xml:space="preserve">son: </w:t>
      </w:r>
      <w:r w:rsidR="007F6D73" w:rsidRPr="003235B2">
        <w:rPr>
          <w:rFonts w:ascii="Century-Book" w:hAnsi="Century-Book" w:cs="Century-Book"/>
          <w:sz w:val="20"/>
          <w:szCs w:val="20"/>
        </w:rPr>
        <w:t>Millennium,</w:t>
      </w:r>
      <w:r w:rsidRPr="003235B2">
        <w:rPr>
          <w:rFonts w:ascii="Century-Book" w:hAnsi="Century-Book" w:cs="Century-Book"/>
          <w:sz w:val="20"/>
          <w:szCs w:val="20"/>
        </w:rPr>
        <w:t xml:space="preserve"> </w:t>
      </w:r>
      <w:r>
        <w:rPr>
          <w:rFonts w:ascii="Century-Book" w:hAnsi="Century-Book" w:cs="Century-Book"/>
          <w:sz w:val="20"/>
          <w:szCs w:val="20"/>
        </w:rPr>
        <w:t xml:space="preserve">DE Shaw, </w:t>
      </w:r>
      <w:proofErr w:type="spellStart"/>
      <w:r>
        <w:rPr>
          <w:rFonts w:ascii="Century-Book" w:hAnsi="Century-Book" w:cs="Century-Book"/>
          <w:sz w:val="20"/>
          <w:szCs w:val="20"/>
        </w:rPr>
        <w:t>Worldquant</w:t>
      </w:r>
      <w:proofErr w:type="spellEnd"/>
      <w:r>
        <w:rPr>
          <w:rFonts w:ascii="Century-Book" w:hAnsi="Century-Book" w:cs="Century-Book"/>
          <w:sz w:val="20"/>
          <w:szCs w:val="20"/>
        </w:rPr>
        <w:t xml:space="preserve">  y </w:t>
      </w:r>
      <w:proofErr w:type="spellStart"/>
      <w:r w:rsidR="007F6D73" w:rsidRPr="003235B2">
        <w:rPr>
          <w:rFonts w:ascii="Century-Book" w:hAnsi="Century-Book" w:cs="Century-Book"/>
          <w:sz w:val="20"/>
          <w:szCs w:val="20"/>
        </w:rPr>
        <w:t>Renaissance</w:t>
      </w:r>
      <w:proofErr w:type="spellEnd"/>
      <w:r w:rsidR="007F6D73" w:rsidRPr="003235B2">
        <w:rPr>
          <w:rFonts w:ascii="Century-Book" w:hAnsi="Century-Book" w:cs="Century-Book"/>
          <w:sz w:val="20"/>
          <w:szCs w:val="20"/>
        </w:rPr>
        <w:t xml:space="preserve"> Technologies. </w:t>
      </w:r>
      <w:r>
        <w:rPr>
          <w:rFonts w:ascii="Century-Book" w:hAnsi="Century-Book" w:cs="Century-Book"/>
          <w:sz w:val="20"/>
          <w:szCs w:val="20"/>
        </w:rPr>
        <w:t xml:space="preserve">La mayoría de las empresas HFT tienen forma de </w:t>
      </w:r>
      <w:proofErr w:type="spellStart"/>
      <w:r>
        <w:rPr>
          <w:rFonts w:ascii="Century-Book" w:hAnsi="Century-Book" w:cs="Century-Book"/>
          <w:sz w:val="20"/>
          <w:szCs w:val="20"/>
        </w:rPr>
        <w:t>Hedge</w:t>
      </w:r>
      <w:proofErr w:type="spellEnd"/>
      <w:r>
        <w:rPr>
          <w:rFonts w:ascii="Century-Book" w:hAnsi="Century-Book" w:cs="Century-Book"/>
          <w:sz w:val="20"/>
          <w:szCs w:val="20"/>
        </w:rPr>
        <w:t xml:space="preserve"> </w:t>
      </w:r>
      <w:proofErr w:type="spellStart"/>
      <w:proofErr w:type="gramStart"/>
      <w:r>
        <w:rPr>
          <w:rFonts w:ascii="Century-Book" w:hAnsi="Century-Book" w:cs="Century-Book"/>
          <w:sz w:val="20"/>
          <w:szCs w:val="20"/>
        </w:rPr>
        <w:t>Fund</w:t>
      </w:r>
      <w:proofErr w:type="spellEnd"/>
      <w:r>
        <w:rPr>
          <w:rFonts w:ascii="Century-Book" w:hAnsi="Century-Book" w:cs="Century-Book"/>
          <w:sz w:val="20"/>
          <w:szCs w:val="20"/>
        </w:rPr>
        <w:t xml:space="preserve"> </w:t>
      </w:r>
      <w:r w:rsidR="003E1EBF">
        <w:rPr>
          <w:rFonts w:ascii="Century-Book" w:hAnsi="Century-Book" w:cs="Century-Book"/>
          <w:sz w:val="20"/>
          <w:szCs w:val="20"/>
        </w:rPr>
        <w:t>.</w:t>
      </w:r>
      <w:proofErr w:type="gramEnd"/>
      <w:r w:rsidR="003E1EBF">
        <w:rPr>
          <w:rFonts w:ascii="Century-Book" w:hAnsi="Century-Book" w:cs="Century-Book"/>
          <w:sz w:val="20"/>
          <w:szCs w:val="20"/>
        </w:rPr>
        <w:t xml:space="preserve"> Las secciones de trading propietario de muchos bancos también chapotean en las aguas del HFT aunque frecuentemente acaban transformándose en estructuras tipo </w:t>
      </w:r>
      <w:proofErr w:type="spellStart"/>
      <w:r w:rsidR="003E1EBF">
        <w:rPr>
          <w:rFonts w:ascii="Century-Book" w:hAnsi="Century-Book" w:cs="Century-Book"/>
          <w:sz w:val="20"/>
          <w:szCs w:val="20"/>
        </w:rPr>
        <w:t>Hedge</w:t>
      </w:r>
      <w:proofErr w:type="spellEnd"/>
      <w:r w:rsidR="003E1EBF">
        <w:rPr>
          <w:rFonts w:ascii="Century-Book" w:hAnsi="Century-Book" w:cs="Century-Book"/>
          <w:sz w:val="20"/>
          <w:szCs w:val="20"/>
        </w:rPr>
        <w:t xml:space="preserve"> </w:t>
      </w:r>
      <w:proofErr w:type="spellStart"/>
      <w:r w:rsidR="003E1EBF">
        <w:rPr>
          <w:rFonts w:ascii="Century-Book" w:hAnsi="Century-Book" w:cs="Century-Book"/>
          <w:sz w:val="20"/>
          <w:szCs w:val="20"/>
        </w:rPr>
        <w:t>Fund</w:t>
      </w:r>
      <w:proofErr w:type="spellEnd"/>
      <w:r w:rsidR="003E1EBF">
        <w:rPr>
          <w:rFonts w:ascii="Century-Book" w:hAnsi="Century-Book" w:cs="Century-Book"/>
          <w:sz w:val="20"/>
          <w:szCs w:val="20"/>
        </w:rPr>
        <w:t xml:space="preserve"> una vez entran en rentabilidad.</w:t>
      </w:r>
    </w:p>
    <w:p w:rsidR="003E1EBF" w:rsidRDefault="003E1EBF" w:rsidP="003E1EBF">
      <w:pPr>
        <w:autoSpaceDE w:val="0"/>
        <w:autoSpaceDN w:val="0"/>
        <w:adjustRightInd w:val="0"/>
        <w:spacing w:after="0" w:line="240" w:lineRule="auto"/>
        <w:jc w:val="both"/>
        <w:rPr>
          <w:rFonts w:ascii="Century-Book" w:hAnsi="Century-Book" w:cs="Century-Book"/>
          <w:sz w:val="20"/>
          <w:szCs w:val="20"/>
        </w:rPr>
      </w:pPr>
    </w:p>
    <w:p w:rsidR="003E1EBF" w:rsidRDefault="003E1EBF" w:rsidP="003E1EBF">
      <w:pPr>
        <w:autoSpaceDE w:val="0"/>
        <w:autoSpaceDN w:val="0"/>
        <w:adjustRightInd w:val="0"/>
        <w:spacing w:after="0" w:line="240" w:lineRule="auto"/>
        <w:jc w:val="both"/>
        <w:rPr>
          <w:rFonts w:ascii="Century-Book" w:hAnsi="Century-Book" w:cs="Century-Book"/>
          <w:sz w:val="20"/>
          <w:szCs w:val="20"/>
        </w:rPr>
      </w:pPr>
      <w:r>
        <w:rPr>
          <w:rFonts w:ascii="Century-Book" w:hAnsi="Century-Book" w:cs="Century-Book"/>
          <w:sz w:val="20"/>
          <w:szCs w:val="20"/>
        </w:rPr>
        <w:t xml:space="preserve">Los cuatro tipos más habituales es estrategias HFT: </w:t>
      </w:r>
      <w:r w:rsidRPr="003E1EBF">
        <w:rPr>
          <w:rFonts w:ascii="Century-Book" w:hAnsi="Century-Book" w:cs="Century-Book"/>
          <w:sz w:val="20"/>
          <w:szCs w:val="20"/>
        </w:rPr>
        <w:t>s</w:t>
      </w:r>
      <w:r w:rsidRPr="00D31481">
        <w:rPr>
          <w:rFonts w:ascii="Century-Book" w:hAnsi="Century-Book" w:cs="Century-Book"/>
          <w:sz w:val="20"/>
          <w:szCs w:val="20"/>
        </w:rPr>
        <w:t>uministro de liquidez automático</w:t>
      </w:r>
      <w:r w:rsidRPr="003E1EBF">
        <w:rPr>
          <w:rFonts w:ascii="Century-Book" w:hAnsi="Century-Book" w:cs="Century-Book"/>
          <w:sz w:val="20"/>
          <w:szCs w:val="20"/>
        </w:rPr>
        <w:t>, o</w:t>
      </w:r>
      <w:r w:rsidRPr="00D31481">
        <w:rPr>
          <w:rFonts w:ascii="Century-Book" w:hAnsi="Century-Book" w:cs="Century-Book"/>
          <w:sz w:val="20"/>
          <w:szCs w:val="20"/>
        </w:rPr>
        <w:t>peraciones en</w:t>
      </w:r>
      <w:r w:rsidRPr="003E1EBF">
        <w:rPr>
          <w:rFonts w:ascii="Century-Book" w:hAnsi="Century-Book" w:cs="Century-Book"/>
          <w:sz w:val="20"/>
          <w:szCs w:val="20"/>
        </w:rPr>
        <w:t xml:space="preserve"> m</w:t>
      </w:r>
      <w:r w:rsidRPr="00D31481">
        <w:rPr>
          <w:rFonts w:ascii="Century-Book" w:hAnsi="Century-Book" w:cs="Century-Book"/>
          <w:sz w:val="20"/>
          <w:szCs w:val="20"/>
        </w:rPr>
        <w:t>icro</w:t>
      </w:r>
      <w:r w:rsidRPr="003E1EBF">
        <w:rPr>
          <w:rFonts w:ascii="Century-Book" w:hAnsi="Century-Book" w:cs="Century-Book"/>
          <w:sz w:val="20"/>
          <w:szCs w:val="20"/>
        </w:rPr>
        <w:t>-estructura del m</w:t>
      </w:r>
      <w:r w:rsidRPr="00D31481">
        <w:rPr>
          <w:rFonts w:ascii="Century-Book" w:hAnsi="Century-Book" w:cs="Century-Book"/>
          <w:sz w:val="20"/>
          <w:szCs w:val="20"/>
        </w:rPr>
        <w:t>ercado</w:t>
      </w:r>
      <w:r w:rsidRPr="003E1EBF">
        <w:rPr>
          <w:rFonts w:ascii="Century-Book" w:hAnsi="Century-Book" w:cs="Century-Book"/>
          <w:sz w:val="20"/>
          <w:szCs w:val="20"/>
        </w:rPr>
        <w:t>, trading en e</w:t>
      </w:r>
      <w:r w:rsidRPr="00D31481">
        <w:rPr>
          <w:rFonts w:ascii="Century-Book" w:hAnsi="Century-Book" w:cs="Century-Book"/>
          <w:sz w:val="20"/>
          <w:szCs w:val="20"/>
        </w:rPr>
        <w:t>ventos</w:t>
      </w:r>
      <w:r w:rsidRPr="003E1EBF">
        <w:rPr>
          <w:rFonts w:ascii="Century-Book" w:hAnsi="Century-Book" w:cs="Century-Book"/>
          <w:sz w:val="20"/>
          <w:szCs w:val="20"/>
        </w:rPr>
        <w:t xml:space="preserve"> y desviaciones de a</w:t>
      </w:r>
      <w:r w:rsidRPr="00D31481">
        <w:rPr>
          <w:rFonts w:ascii="Century-Book" w:hAnsi="Century-Book" w:cs="Century-Book"/>
          <w:sz w:val="20"/>
          <w:szCs w:val="20"/>
        </w:rPr>
        <w:t>rbitraje</w:t>
      </w:r>
      <w:r w:rsidRPr="003E1EBF">
        <w:rPr>
          <w:rFonts w:ascii="Century-Book" w:hAnsi="Century-Book" w:cs="Century-Book"/>
          <w:sz w:val="20"/>
          <w:szCs w:val="20"/>
        </w:rPr>
        <w:t xml:space="preserve"> la siguiente tabla resume las propiedades de cada tipo</w:t>
      </w:r>
    </w:p>
    <w:p w:rsidR="007F6D73" w:rsidRDefault="007F6D73" w:rsidP="003235B2">
      <w:pPr>
        <w:autoSpaceDE w:val="0"/>
        <w:autoSpaceDN w:val="0"/>
        <w:adjustRightInd w:val="0"/>
        <w:spacing w:after="0" w:line="240" w:lineRule="auto"/>
        <w:rPr>
          <w:rFonts w:ascii="Century-Book" w:hAnsi="Century-Book" w:cs="Century-Book"/>
          <w:sz w:val="20"/>
          <w:szCs w:val="20"/>
        </w:rPr>
      </w:pPr>
    </w:p>
    <w:p w:rsidR="003235B2" w:rsidRDefault="003235B2" w:rsidP="003235B2">
      <w:pPr>
        <w:autoSpaceDE w:val="0"/>
        <w:autoSpaceDN w:val="0"/>
        <w:adjustRightInd w:val="0"/>
        <w:spacing w:after="0" w:line="240" w:lineRule="auto"/>
        <w:rPr>
          <w:rFonts w:ascii="Century-Book" w:hAnsi="Century-Book" w:cs="Century-Book"/>
          <w:sz w:val="20"/>
          <w:szCs w:val="20"/>
        </w:rPr>
      </w:pPr>
    </w:p>
    <w:p w:rsidR="00D31481" w:rsidRDefault="00D31481" w:rsidP="003235B2">
      <w:pPr>
        <w:autoSpaceDE w:val="0"/>
        <w:autoSpaceDN w:val="0"/>
        <w:adjustRightInd w:val="0"/>
        <w:spacing w:after="0" w:line="240" w:lineRule="auto"/>
        <w:rPr>
          <w:rFonts w:ascii="Century-Book" w:hAnsi="Century-Book" w:cs="Century-Book"/>
          <w:sz w:val="20"/>
          <w:szCs w:val="20"/>
        </w:rPr>
      </w:pPr>
    </w:p>
    <w:tbl>
      <w:tblPr>
        <w:tblW w:w="9433" w:type="dxa"/>
        <w:tblInd w:w="60" w:type="dxa"/>
        <w:tblCellMar>
          <w:left w:w="70" w:type="dxa"/>
          <w:right w:w="70" w:type="dxa"/>
        </w:tblCellMar>
        <w:tblLook w:val="04A0"/>
      </w:tblPr>
      <w:tblGrid>
        <w:gridCol w:w="3600"/>
        <w:gridCol w:w="3191"/>
        <w:gridCol w:w="2642"/>
      </w:tblGrid>
      <w:tr w:rsidR="00D31481" w:rsidRPr="00D31481" w:rsidTr="003E1EBF">
        <w:trPr>
          <w:trHeight w:val="300"/>
        </w:trPr>
        <w:tc>
          <w:tcPr>
            <w:tcW w:w="3600" w:type="dxa"/>
            <w:tcBorders>
              <w:top w:val="nil"/>
              <w:left w:val="nil"/>
              <w:bottom w:val="single" w:sz="8" w:space="0" w:color="auto"/>
              <w:right w:val="nil"/>
            </w:tcBorders>
            <w:shd w:val="clear" w:color="auto" w:fill="auto"/>
            <w:noWrap/>
            <w:vAlign w:val="bottom"/>
            <w:hideMark/>
          </w:tcPr>
          <w:p w:rsidR="00D31481" w:rsidRPr="00D31481" w:rsidRDefault="00D31481" w:rsidP="00D31481">
            <w:pPr>
              <w:spacing w:after="0" w:line="240" w:lineRule="auto"/>
              <w:rPr>
                <w:rFonts w:ascii="Calibri" w:eastAsia="Times New Roman" w:hAnsi="Calibri" w:cs="Times New Roman"/>
                <w:b/>
                <w:bCs/>
                <w:color w:val="000000"/>
                <w:lang w:eastAsia="es-ES_tradnl"/>
              </w:rPr>
            </w:pPr>
            <w:r w:rsidRPr="00D31481">
              <w:rPr>
                <w:rFonts w:ascii="Calibri" w:eastAsia="Times New Roman" w:hAnsi="Calibri" w:cs="Times New Roman"/>
                <w:b/>
                <w:bCs/>
                <w:color w:val="000000"/>
                <w:lang w:eastAsia="es-ES_tradnl"/>
              </w:rPr>
              <w:t>Tabla 1.1</w:t>
            </w:r>
          </w:p>
        </w:tc>
        <w:tc>
          <w:tcPr>
            <w:tcW w:w="5833" w:type="dxa"/>
            <w:gridSpan w:val="2"/>
            <w:tcBorders>
              <w:top w:val="nil"/>
              <w:left w:val="nil"/>
              <w:bottom w:val="single" w:sz="8" w:space="0" w:color="auto"/>
              <w:right w:val="nil"/>
            </w:tcBorders>
            <w:shd w:val="clear" w:color="auto" w:fill="auto"/>
            <w:noWrap/>
            <w:vAlign w:val="bottom"/>
            <w:hideMark/>
          </w:tcPr>
          <w:p w:rsidR="00D31481" w:rsidRPr="00D31481" w:rsidRDefault="003E1EBF" w:rsidP="00D31481">
            <w:pPr>
              <w:spacing w:after="0" w:line="240" w:lineRule="auto"/>
              <w:rPr>
                <w:rFonts w:ascii="Calibri" w:eastAsia="Times New Roman" w:hAnsi="Calibri" w:cs="Times New Roman"/>
                <w:color w:val="000000"/>
                <w:lang w:eastAsia="es-ES_tradnl"/>
              </w:rPr>
            </w:pPr>
            <w:r>
              <w:rPr>
                <w:rFonts w:ascii="Calibri" w:eastAsia="Times New Roman" w:hAnsi="Calibri" w:cs="Times New Roman"/>
                <w:color w:val="000000"/>
                <w:lang w:eastAsia="es-ES_tradnl"/>
              </w:rPr>
              <w:t>Clasificació</w:t>
            </w:r>
            <w:r w:rsidR="00D31481" w:rsidRPr="00D31481">
              <w:rPr>
                <w:rFonts w:ascii="Calibri" w:eastAsia="Times New Roman" w:hAnsi="Calibri" w:cs="Times New Roman"/>
                <w:color w:val="000000"/>
                <w:lang w:eastAsia="es-ES_tradnl"/>
              </w:rPr>
              <w:t xml:space="preserve">n de las Estrategias </w:t>
            </w:r>
            <w:proofErr w:type="spellStart"/>
            <w:r w:rsidR="00D31481" w:rsidRPr="00D31481">
              <w:rPr>
                <w:rFonts w:ascii="Calibri" w:eastAsia="Times New Roman" w:hAnsi="Calibri" w:cs="Times New Roman"/>
                <w:color w:val="000000"/>
                <w:lang w:eastAsia="es-ES_tradnl"/>
              </w:rPr>
              <w:t>High</w:t>
            </w:r>
            <w:proofErr w:type="spellEnd"/>
            <w:r w:rsidR="00D31481" w:rsidRPr="00D31481">
              <w:rPr>
                <w:rFonts w:ascii="Calibri" w:eastAsia="Times New Roman" w:hAnsi="Calibri" w:cs="Times New Roman"/>
                <w:color w:val="000000"/>
                <w:lang w:eastAsia="es-ES_tradnl"/>
              </w:rPr>
              <w:t xml:space="preserve"> </w:t>
            </w:r>
            <w:proofErr w:type="spellStart"/>
            <w:r w:rsidR="00D31481" w:rsidRPr="00D31481">
              <w:rPr>
                <w:rFonts w:ascii="Calibri" w:eastAsia="Times New Roman" w:hAnsi="Calibri" w:cs="Times New Roman"/>
                <w:color w:val="000000"/>
                <w:lang w:eastAsia="es-ES_tradnl"/>
              </w:rPr>
              <w:t>Frequency</w:t>
            </w:r>
            <w:proofErr w:type="spellEnd"/>
          </w:p>
        </w:tc>
      </w:tr>
      <w:tr w:rsidR="00D31481" w:rsidRPr="00D31481" w:rsidTr="003E1EBF">
        <w:trPr>
          <w:trHeight w:val="285"/>
        </w:trPr>
        <w:tc>
          <w:tcPr>
            <w:tcW w:w="3600" w:type="dxa"/>
            <w:tcBorders>
              <w:top w:val="nil"/>
              <w:left w:val="nil"/>
              <w:bottom w:val="nil"/>
              <w:right w:val="nil"/>
            </w:tcBorders>
            <w:shd w:val="clear" w:color="auto" w:fill="auto"/>
            <w:noWrap/>
            <w:vAlign w:val="bottom"/>
            <w:hideMark/>
          </w:tcPr>
          <w:p w:rsidR="00D31481" w:rsidRPr="00D31481" w:rsidRDefault="00D31481" w:rsidP="00D31481">
            <w:pPr>
              <w:spacing w:after="0" w:line="240" w:lineRule="auto"/>
              <w:rPr>
                <w:rFonts w:ascii="Calibri" w:eastAsia="Times New Roman" w:hAnsi="Calibri" w:cs="Times New Roman"/>
                <w:color w:val="000000"/>
                <w:lang w:eastAsia="es-ES_tradnl"/>
              </w:rPr>
            </w:pPr>
          </w:p>
        </w:tc>
        <w:tc>
          <w:tcPr>
            <w:tcW w:w="3191" w:type="dxa"/>
            <w:tcBorders>
              <w:top w:val="nil"/>
              <w:left w:val="nil"/>
              <w:bottom w:val="nil"/>
              <w:right w:val="nil"/>
            </w:tcBorders>
            <w:shd w:val="clear" w:color="auto" w:fill="auto"/>
            <w:noWrap/>
            <w:vAlign w:val="bottom"/>
            <w:hideMark/>
          </w:tcPr>
          <w:p w:rsidR="00D31481" w:rsidRPr="00D31481" w:rsidRDefault="00D31481" w:rsidP="00D31481">
            <w:pPr>
              <w:spacing w:after="0" w:line="240" w:lineRule="auto"/>
              <w:rPr>
                <w:rFonts w:ascii="Calibri" w:eastAsia="Times New Roman" w:hAnsi="Calibri" w:cs="Times New Roman"/>
                <w:color w:val="000000"/>
                <w:lang w:eastAsia="es-ES_tradnl"/>
              </w:rPr>
            </w:pPr>
          </w:p>
        </w:tc>
        <w:tc>
          <w:tcPr>
            <w:tcW w:w="2642" w:type="dxa"/>
            <w:tcBorders>
              <w:top w:val="nil"/>
              <w:left w:val="nil"/>
              <w:bottom w:val="nil"/>
              <w:right w:val="nil"/>
            </w:tcBorders>
            <w:shd w:val="clear" w:color="auto" w:fill="auto"/>
            <w:noWrap/>
            <w:vAlign w:val="bottom"/>
            <w:hideMark/>
          </w:tcPr>
          <w:p w:rsidR="00D31481" w:rsidRPr="00D31481" w:rsidRDefault="00D31481" w:rsidP="00D31481">
            <w:pPr>
              <w:spacing w:after="0" w:line="240" w:lineRule="auto"/>
              <w:rPr>
                <w:rFonts w:ascii="Calibri" w:eastAsia="Times New Roman" w:hAnsi="Calibri" w:cs="Times New Roman"/>
                <w:color w:val="000000"/>
                <w:lang w:eastAsia="es-ES_tradnl"/>
              </w:rPr>
            </w:pPr>
          </w:p>
        </w:tc>
      </w:tr>
      <w:tr w:rsidR="00D31481" w:rsidRPr="00D31481" w:rsidTr="003E1EBF">
        <w:trPr>
          <w:trHeight w:val="300"/>
        </w:trPr>
        <w:tc>
          <w:tcPr>
            <w:tcW w:w="3600" w:type="dxa"/>
            <w:tcBorders>
              <w:top w:val="nil"/>
              <w:left w:val="nil"/>
              <w:bottom w:val="single" w:sz="12" w:space="0" w:color="auto"/>
              <w:right w:val="nil"/>
            </w:tcBorders>
            <w:shd w:val="clear" w:color="auto" w:fill="auto"/>
            <w:noWrap/>
            <w:vAlign w:val="bottom"/>
            <w:hideMark/>
          </w:tcPr>
          <w:p w:rsidR="00D31481" w:rsidRPr="00D31481" w:rsidRDefault="00D31481" w:rsidP="00D31481">
            <w:pPr>
              <w:spacing w:after="0" w:line="240" w:lineRule="auto"/>
              <w:rPr>
                <w:rFonts w:ascii="Calibri" w:eastAsia="Times New Roman" w:hAnsi="Calibri" w:cs="Times New Roman"/>
                <w:b/>
                <w:bCs/>
                <w:color w:val="000000"/>
                <w:lang w:eastAsia="es-ES_tradnl"/>
              </w:rPr>
            </w:pPr>
            <w:proofErr w:type="spellStart"/>
            <w:r w:rsidRPr="00D31481">
              <w:rPr>
                <w:rFonts w:ascii="Calibri" w:eastAsia="Times New Roman" w:hAnsi="Calibri" w:cs="Times New Roman"/>
                <w:b/>
                <w:bCs/>
                <w:color w:val="000000"/>
                <w:lang w:eastAsia="es-ES_tradnl"/>
              </w:rPr>
              <w:t>Estartegia</w:t>
            </w:r>
            <w:proofErr w:type="spellEnd"/>
          </w:p>
        </w:tc>
        <w:tc>
          <w:tcPr>
            <w:tcW w:w="3191" w:type="dxa"/>
            <w:tcBorders>
              <w:top w:val="nil"/>
              <w:left w:val="nil"/>
              <w:bottom w:val="single" w:sz="12" w:space="0" w:color="auto"/>
              <w:right w:val="nil"/>
            </w:tcBorders>
            <w:shd w:val="clear" w:color="auto" w:fill="auto"/>
            <w:noWrap/>
            <w:vAlign w:val="bottom"/>
            <w:hideMark/>
          </w:tcPr>
          <w:p w:rsidR="00D31481" w:rsidRPr="00D31481" w:rsidRDefault="00D31481" w:rsidP="00D31481">
            <w:pPr>
              <w:spacing w:after="0" w:line="240" w:lineRule="auto"/>
              <w:rPr>
                <w:rFonts w:ascii="Calibri" w:eastAsia="Times New Roman" w:hAnsi="Calibri" w:cs="Times New Roman"/>
                <w:b/>
                <w:bCs/>
                <w:color w:val="000000"/>
                <w:lang w:eastAsia="es-ES_tradnl"/>
              </w:rPr>
            </w:pPr>
            <w:r w:rsidRPr="00D31481">
              <w:rPr>
                <w:rFonts w:ascii="Calibri" w:eastAsia="Times New Roman" w:hAnsi="Calibri" w:cs="Times New Roman"/>
                <w:b/>
                <w:bCs/>
                <w:color w:val="000000"/>
                <w:lang w:eastAsia="es-ES_tradnl"/>
              </w:rPr>
              <w:t>Descripción</w:t>
            </w:r>
          </w:p>
        </w:tc>
        <w:tc>
          <w:tcPr>
            <w:tcW w:w="2642" w:type="dxa"/>
            <w:tcBorders>
              <w:top w:val="nil"/>
              <w:left w:val="nil"/>
              <w:bottom w:val="single" w:sz="12" w:space="0" w:color="auto"/>
              <w:right w:val="nil"/>
            </w:tcBorders>
            <w:shd w:val="clear" w:color="auto" w:fill="auto"/>
            <w:noWrap/>
            <w:vAlign w:val="bottom"/>
            <w:hideMark/>
          </w:tcPr>
          <w:p w:rsidR="00D31481" w:rsidRPr="00D31481" w:rsidRDefault="00D31481" w:rsidP="00D31481">
            <w:pPr>
              <w:spacing w:after="0" w:line="240" w:lineRule="auto"/>
              <w:rPr>
                <w:rFonts w:ascii="Calibri" w:eastAsia="Times New Roman" w:hAnsi="Calibri" w:cs="Times New Roman"/>
                <w:b/>
                <w:bCs/>
                <w:color w:val="000000"/>
                <w:lang w:eastAsia="es-ES_tradnl"/>
              </w:rPr>
            </w:pPr>
            <w:r w:rsidRPr="00D31481">
              <w:rPr>
                <w:rFonts w:ascii="Calibri" w:eastAsia="Times New Roman" w:hAnsi="Calibri" w:cs="Times New Roman"/>
                <w:b/>
                <w:bCs/>
                <w:color w:val="000000"/>
                <w:lang w:eastAsia="es-ES_tradnl"/>
              </w:rPr>
              <w:t>Periodo de mantenimiento típico</w:t>
            </w:r>
          </w:p>
        </w:tc>
      </w:tr>
      <w:tr w:rsidR="00D31481" w:rsidRPr="00D31481" w:rsidTr="003E1EBF">
        <w:trPr>
          <w:trHeight w:val="871"/>
        </w:trPr>
        <w:tc>
          <w:tcPr>
            <w:tcW w:w="3600" w:type="dxa"/>
            <w:tcBorders>
              <w:top w:val="nil"/>
              <w:left w:val="nil"/>
              <w:bottom w:val="nil"/>
              <w:right w:val="nil"/>
            </w:tcBorders>
            <w:shd w:val="clear" w:color="auto" w:fill="auto"/>
            <w:noWrap/>
            <w:hideMark/>
          </w:tcPr>
          <w:p w:rsidR="00D31481" w:rsidRPr="00D31481" w:rsidRDefault="00D31481" w:rsidP="00D31481">
            <w:pPr>
              <w:spacing w:after="0" w:line="240" w:lineRule="auto"/>
              <w:rPr>
                <w:rFonts w:ascii="Calibri" w:eastAsia="Times New Roman" w:hAnsi="Calibri" w:cs="Times New Roman"/>
                <w:color w:val="000000"/>
                <w:sz w:val="20"/>
                <w:szCs w:val="20"/>
                <w:lang w:eastAsia="es-ES_tradnl"/>
              </w:rPr>
            </w:pPr>
            <w:r w:rsidRPr="00D31481">
              <w:rPr>
                <w:rFonts w:ascii="Calibri" w:eastAsia="Times New Roman" w:hAnsi="Calibri" w:cs="Times New Roman"/>
                <w:color w:val="000000"/>
                <w:sz w:val="20"/>
                <w:szCs w:val="20"/>
                <w:lang w:eastAsia="es-ES_tradnl"/>
              </w:rPr>
              <w:t>Suministro de liquidez automático</w:t>
            </w:r>
          </w:p>
        </w:tc>
        <w:tc>
          <w:tcPr>
            <w:tcW w:w="3191" w:type="dxa"/>
            <w:tcBorders>
              <w:top w:val="nil"/>
              <w:left w:val="nil"/>
              <w:bottom w:val="nil"/>
              <w:right w:val="nil"/>
            </w:tcBorders>
            <w:shd w:val="clear" w:color="auto" w:fill="auto"/>
            <w:hideMark/>
          </w:tcPr>
          <w:p w:rsidR="00D31481" w:rsidRPr="00D31481" w:rsidRDefault="00D31481" w:rsidP="00D31481">
            <w:pPr>
              <w:spacing w:after="0" w:line="240" w:lineRule="auto"/>
              <w:rPr>
                <w:rFonts w:ascii="Calibri" w:eastAsia="Times New Roman" w:hAnsi="Calibri" w:cs="Times New Roman"/>
                <w:color w:val="000000"/>
                <w:sz w:val="20"/>
                <w:szCs w:val="20"/>
                <w:lang w:eastAsia="es-ES_tradnl"/>
              </w:rPr>
            </w:pPr>
            <w:r w:rsidRPr="00D31481">
              <w:rPr>
                <w:rFonts w:ascii="Calibri" w:eastAsia="Times New Roman" w:hAnsi="Calibri" w:cs="Times New Roman"/>
                <w:color w:val="000000"/>
                <w:sz w:val="20"/>
                <w:szCs w:val="20"/>
                <w:lang w:eastAsia="es-ES_tradnl"/>
              </w:rPr>
              <w:t>Algoritmos cuantitativo para el suminis</w:t>
            </w:r>
            <w:r w:rsidR="00F72B74" w:rsidRPr="003E1EBF">
              <w:rPr>
                <w:rFonts w:ascii="Calibri" w:eastAsia="Times New Roman" w:hAnsi="Calibri" w:cs="Times New Roman"/>
                <w:color w:val="000000"/>
                <w:sz w:val="20"/>
                <w:szCs w:val="20"/>
                <w:lang w:eastAsia="es-ES_tradnl"/>
              </w:rPr>
              <w:t>tro de precios óptimo y ejecució</w:t>
            </w:r>
            <w:r w:rsidRPr="00D31481">
              <w:rPr>
                <w:rFonts w:ascii="Calibri" w:eastAsia="Times New Roman" w:hAnsi="Calibri" w:cs="Times New Roman"/>
                <w:color w:val="000000"/>
                <w:sz w:val="20"/>
                <w:szCs w:val="20"/>
                <w:lang w:eastAsia="es-ES_tradnl"/>
              </w:rPr>
              <w:t xml:space="preserve">n de posiciones en </w:t>
            </w:r>
            <w:proofErr w:type="spellStart"/>
            <w:r w:rsidRPr="00D31481">
              <w:rPr>
                <w:rFonts w:ascii="Calibri" w:eastAsia="Times New Roman" w:hAnsi="Calibri" w:cs="Times New Roman"/>
                <w:color w:val="000000"/>
                <w:sz w:val="20"/>
                <w:szCs w:val="20"/>
                <w:lang w:eastAsia="es-ES_tradnl"/>
              </w:rPr>
              <w:t>Market</w:t>
            </w:r>
            <w:proofErr w:type="spellEnd"/>
            <w:r w:rsidRPr="00D31481">
              <w:rPr>
                <w:rFonts w:ascii="Calibri" w:eastAsia="Times New Roman" w:hAnsi="Calibri" w:cs="Times New Roman"/>
                <w:color w:val="000000"/>
                <w:sz w:val="20"/>
                <w:szCs w:val="20"/>
                <w:lang w:eastAsia="es-ES_tradnl"/>
              </w:rPr>
              <w:t xml:space="preserve"> </w:t>
            </w:r>
            <w:proofErr w:type="spellStart"/>
            <w:r w:rsidRPr="00D31481">
              <w:rPr>
                <w:rFonts w:ascii="Calibri" w:eastAsia="Times New Roman" w:hAnsi="Calibri" w:cs="Times New Roman"/>
                <w:color w:val="000000"/>
                <w:sz w:val="20"/>
                <w:szCs w:val="20"/>
                <w:lang w:eastAsia="es-ES_tradnl"/>
              </w:rPr>
              <w:t>Making</w:t>
            </w:r>
            <w:proofErr w:type="spellEnd"/>
          </w:p>
        </w:tc>
        <w:tc>
          <w:tcPr>
            <w:tcW w:w="2642" w:type="dxa"/>
            <w:tcBorders>
              <w:top w:val="nil"/>
              <w:left w:val="nil"/>
              <w:bottom w:val="nil"/>
              <w:right w:val="nil"/>
            </w:tcBorders>
            <w:shd w:val="clear" w:color="auto" w:fill="auto"/>
            <w:noWrap/>
            <w:hideMark/>
          </w:tcPr>
          <w:p w:rsidR="00D31481" w:rsidRPr="00D31481" w:rsidRDefault="00D31481" w:rsidP="00D31481">
            <w:pPr>
              <w:spacing w:after="0" w:line="240" w:lineRule="auto"/>
              <w:rPr>
                <w:rFonts w:ascii="Calibri" w:eastAsia="Times New Roman" w:hAnsi="Calibri" w:cs="Times New Roman"/>
                <w:color w:val="000000"/>
                <w:sz w:val="20"/>
                <w:szCs w:val="20"/>
                <w:lang w:eastAsia="es-ES_tradnl"/>
              </w:rPr>
            </w:pPr>
            <w:r w:rsidRPr="00D31481">
              <w:rPr>
                <w:rFonts w:ascii="Calibri" w:eastAsia="Times New Roman" w:hAnsi="Calibri" w:cs="Times New Roman"/>
                <w:color w:val="000000"/>
                <w:sz w:val="20"/>
                <w:szCs w:val="20"/>
                <w:lang w:eastAsia="es-ES_tradnl"/>
              </w:rPr>
              <w:t>&lt;  1 minuto</w:t>
            </w:r>
          </w:p>
        </w:tc>
      </w:tr>
      <w:tr w:rsidR="00D31481" w:rsidRPr="00D31481" w:rsidTr="003E1EBF">
        <w:trPr>
          <w:trHeight w:val="285"/>
        </w:trPr>
        <w:tc>
          <w:tcPr>
            <w:tcW w:w="3600" w:type="dxa"/>
            <w:tcBorders>
              <w:top w:val="nil"/>
              <w:left w:val="nil"/>
              <w:bottom w:val="nil"/>
              <w:right w:val="nil"/>
            </w:tcBorders>
            <w:shd w:val="clear" w:color="auto" w:fill="auto"/>
            <w:noWrap/>
            <w:hideMark/>
          </w:tcPr>
          <w:p w:rsidR="00D31481" w:rsidRPr="00D31481" w:rsidRDefault="00D31481" w:rsidP="00D31481">
            <w:pPr>
              <w:spacing w:after="0" w:line="240" w:lineRule="auto"/>
              <w:rPr>
                <w:rFonts w:ascii="Calibri" w:eastAsia="Times New Roman" w:hAnsi="Calibri" w:cs="Times New Roman"/>
                <w:color w:val="000000"/>
                <w:sz w:val="20"/>
                <w:szCs w:val="20"/>
                <w:lang w:eastAsia="es-ES_tradnl"/>
              </w:rPr>
            </w:pPr>
          </w:p>
        </w:tc>
        <w:tc>
          <w:tcPr>
            <w:tcW w:w="3191" w:type="dxa"/>
            <w:tcBorders>
              <w:top w:val="nil"/>
              <w:left w:val="nil"/>
              <w:bottom w:val="nil"/>
              <w:right w:val="nil"/>
            </w:tcBorders>
            <w:shd w:val="clear" w:color="auto" w:fill="auto"/>
            <w:noWrap/>
            <w:hideMark/>
          </w:tcPr>
          <w:p w:rsidR="00D31481" w:rsidRPr="00D31481" w:rsidRDefault="00D31481" w:rsidP="00D31481">
            <w:pPr>
              <w:spacing w:after="0" w:line="240" w:lineRule="auto"/>
              <w:rPr>
                <w:rFonts w:ascii="Calibri" w:eastAsia="Times New Roman" w:hAnsi="Calibri" w:cs="Times New Roman"/>
                <w:color w:val="000000"/>
                <w:sz w:val="20"/>
                <w:szCs w:val="20"/>
                <w:lang w:eastAsia="es-ES_tradnl"/>
              </w:rPr>
            </w:pPr>
          </w:p>
        </w:tc>
        <w:tc>
          <w:tcPr>
            <w:tcW w:w="2642" w:type="dxa"/>
            <w:tcBorders>
              <w:top w:val="nil"/>
              <w:left w:val="nil"/>
              <w:bottom w:val="nil"/>
              <w:right w:val="nil"/>
            </w:tcBorders>
            <w:shd w:val="clear" w:color="auto" w:fill="auto"/>
            <w:noWrap/>
            <w:hideMark/>
          </w:tcPr>
          <w:p w:rsidR="00D31481" w:rsidRPr="00D31481" w:rsidRDefault="00D31481" w:rsidP="00D31481">
            <w:pPr>
              <w:spacing w:after="0" w:line="240" w:lineRule="auto"/>
              <w:rPr>
                <w:rFonts w:ascii="Calibri" w:eastAsia="Times New Roman" w:hAnsi="Calibri" w:cs="Times New Roman"/>
                <w:color w:val="000000"/>
                <w:sz w:val="20"/>
                <w:szCs w:val="20"/>
                <w:lang w:eastAsia="es-ES_tradnl"/>
              </w:rPr>
            </w:pPr>
          </w:p>
        </w:tc>
      </w:tr>
      <w:tr w:rsidR="00D31481" w:rsidRPr="00D31481" w:rsidTr="003E1EBF">
        <w:trPr>
          <w:trHeight w:val="885"/>
        </w:trPr>
        <w:tc>
          <w:tcPr>
            <w:tcW w:w="3600" w:type="dxa"/>
            <w:tcBorders>
              <w:top w:val="nil"/>
              <w:left w:val="nil"/>
              <w:bottom w:val="nil"/>
              <w:right w:val="nil"/>
            </w:tcBorders>
            <w:shd w:val="clear" w:color="auto" w:fill="auto"/>
            <w:noWrap/>
            <w:hideMark/>
          </w:tcPr>
          <w:p w:rsidR="00D31481" w:rsidRPr="00D31481" w:rsidRDefault="00D31481" w:rsidP="003E1EBF">
            <w:pPr>
              <w:spacing w:after="0" w:line="240" w:lineRule="auto"/>
              <w:rPr>
                <w:rFonts w:ascii="Calibri" w:eastAsia="Times New Roman" w:hAnsi="Calibri" w:cs="Times New Roman"/>
                <w:color w:val="000000"/>
                <w:sz w:val="20"/>
                <w:szCs w:val="20"/>
                <w:lang w:eastAsia="es-ES_tradnl"/>
              </w:rPr>
            </w:pPr>
            <w:r w:rsidRPr="00D31481">
              <w:rPr>
                <w:rFonts w:ascii="Calibri" w:eastAsia="Times New Roman" w:hAnsi="Calibri" w:cs="Times New Roman"/>
                <w:color w:val="000000"/>
                <w:sz w:val="20"/>
                <w:szCs w:val="20"/>
                <w:lang w:eastAsia="es-ES_tradnl"/>
              </w:rPr>
              <w:t>Operaciones en Micro</w:t>
            </w:r>
            <w:r w:rsidR="00F72B74" w:rsidRPr="003E1EBF">
              <w:rPr>
                <w:rFonts w:ascii="Calibri" w:eastAsia="Times New Roman" w:hAnsi="Calibri" w:cs="Times New Roman"/>
                <w:color w:val="000000"/>
                <w:sz w:val="20"/>
                <w:szCs w:val="20"/>
                <w:lang w:eastAsia="es-ES_tradnl"/>
              </w:rPr>
              <w:t>-</w:t>
            </w:r>
            <w:r w:rsidRPr="00D31481">
              <w:rPr>
                <w:rFonts w:ascii="Calibri" w:eastAsia="Times New Roman" w:hAnsi="Calibri" w:cs="Times New Roman"/>
                <w:color w:val="000000"/>
                <w:sz w:val="20"/>
                <w:szCs w:val="20"/>
                <w:lang w:eastAsia="es-ES_tradnl"/>
              </w:rPr>
              <w:t>estructura del Mercado</w:t>
            </w:r>
          </w:p>
        </w:tc>
        <w:tc>
          <w:tcPr>
            <w:tcW w:w="3191" w:type="dxa"/>
            <w:tcBorders>
              <w:top w:val="nil"/>
              <w:left w:val="nil"/>
              <w:bottom w:val="nil"/>
              <w:right w:val="nil"/>
            </w:tcBorders>
            <w:shd w:val="clear" w:color="auto" w:fill="auto"/>
            <w:hideMark/>
          </w:tcPr>
          <w:p w:rsidR="00D31481" w:rsidRPr="00D31481" w:rsidRDefault="00F72B74" w:rsidP="00F72B74">
            <w:pPr>
              <w:spacing w:after="0" w:line="240" w:lineRule="auto"/>
              <w:rPr>
                <w:rFonts w:ascii="Calibri" w:eastAsia="Times New Roman" w:hAnsi="Calibri" w:cs="Times New Roman"/>
                <w:color w:val="000000"/>
                <w:sz w:val="20"/>
                <w:szCs w:val="20"/>
                <w:lang w:eastAsia="es-ES_tradnl"/>
              </w:rPr>
            </w:pPr>
            <w:r w:rsidRPr="003E1EBF">
              <w:rPr>
                <w:rFonts w:ascii="Calibri" w:eastAsia="Times New Roman" w:hAnsi="Calibri" w:cs="Times New Roman"/>
                <w:color w:val="000000"/>
                <w:sz w:val="20"/>
                <w:szCs w:val="20"/>
                <w:lang w:eastAsia="es-ES_tradnl"/>
              </w:rPr>
              <w:t>Identificació</w:t>
            </w:r>
            <w:r w:rsidR="00D31481" w:rsidRPr="00D31481">
              <w:rPr>
                <w:rFonts w:ascii="Calibri" w:eastAsia="Times New Roman" w:hAnsi="Calibri" w:cs="Times New Roman"/>
                <w:color w:val="000000"/>
                <w:sz w:val="20"/>
                <w:szCs w:val="20"/>
                <w:lang w:eastAsia="es-ES_tradnl"/>
              </w:rPr>
              <w:t>n del flujo de ordenes de una de las partes a trav</w:t>
            </w:r>
            <w:r w:rsidRPr="003E1EBF">
              <w:rPr>
                <w:rFonts w:ascii="Calibri" w:eastAsia="Times New Roman" w:hAnsi="Calibri" w:cs="Times New Roman"/>
                <w:color w:val="000000"/>
                <w:sz w:val="20"/>
                <w:szCs w:val="20"/>
                <w:lang w:eastAsia="es-ES_tradnl"/>
              </w:rPr>
              <w:t>és de ingeniería inversa de la observació</w:t>
            </w:r>
            <w:r w:rsidR="00D31481" w:rsidRPr="00D31481">
              <w:rPr>
                <w:rFonts w:ascii="Calibri" w:eastAsia="Times New Roman" w:hAnsi="Calibri" w:cs="Times New Roman"/>
                <w:color w:val="000000"/>
                <w:sz w:val="20"/>
                <w:szCs w:val="20"/>
                <w:lang w:eastAsia="es-ES_tradnl"/>
              </w:rPr>
              <w:t>n de las cotizaciones</w:t>
            </w:r>
          </w:p>
        </w:tc>
        <w:tc>
          <w:tcPr>
            <w:tcW w:w="2642" w:type="dxa"/>
            <w:tcBorders>
              <w:top w:val="nil"/>
              <w:left w:val="nil"/>
              <w:bottom w:val="nil"/>
              <w:right w:val="nil"/>
            </w:tcBorders>
            <w:shd w:val="clear" w:color="auto" w:fill="auto"/>
            <w:noWrap/>
            <w:hideMark/>
          </w:tcPr>
          <w:p w:rsidR="00D31481" w:rsidRPr="00D31481" w:rsidRDefault="00D31481" w:rsidP="00D31481">
            <w:pPr>
              <w:spacing w:after="0" w:line="240" w:lineRule="auto"/>
              <w:rPr>
                <w:rFonts w:ascii="Calibri" w:eastAsia="Times New Roman" w:hAnsi="Calibri" w:cs="Times New Roman"/>
                <w:color w:val="000000"/>
                <w:sz w:val="20"/>
                <w:szCs w:val="20"/>
                <w:lang w:eastAsia="es-ES_tradnl"/>
              </w:rPr>
            </w:pPr>
            <w:r w:rsidRPr="00D31481">
              <w:rPr>
                <w:rFonts w:ascii="Calibri" w:eastAsia="Times New Roman" w:hAnsi="Calibri" w:cs="Times New Roman"/>
                <w:color w:val="000000"/>
                <w:sz w:val="20"/>
                <w:szCs w:val="20"/>
                <w:lang w:eastAsia="es-ES_tradnl"/>
              </w:rPr>
              <w:t>&lt; 10 minutos</w:t>
            </w:r>
          </w:p>
        </w:tc>
      </w:tr>
      <w:tr w:rsidR="00D31481" w:rsidRPr="00D31481" w:rsidTr="003E1EBF">
        <w:trPr>
          <w:trHeight w:val="285"/>
        </w:trPr>
        <w:tc>
          <w:tcPr>
            <w:tcW w:w="3600" w:type="dxa"/>
            <w:tcBorders>
              <w:top w:val="nil"/>
              <w:left w:val="nil"/>
              <w:bottom w:val="nil"/>
              <w:right w:val="nil"/>
            </w:tcBorders>
            <w:shd w:val="clear" w:color="auto" w:fill="auto"/>
            <w:noWrap/>
            <w:hideMark/>
          </w:tcPr>
          <w:p w:rsidR="00D31481" w:rsidRPr="00D31481" w:rsidRDefault="00D31481" w:rsidP="00D31481">
            <w:pPr>
              <w:spacing w:after="0" w:line="240" w:lineRule="auto"/>
              <w:rPr>
                <w:rFonts w:ascii="Calibri" w:eastAsia="Times New Roman" w:hAnsi="Calibri" w:cs="Times New Roman"/>
                <w:color w:val="000000"/>
                <w:sz w:val="20"/>
                <w:szCs w:val="20"/>
                <w:lang w:eastAsia="es-ES_tradnl"/>
              </w:rPr>
            </w:pPr>
          </w:p>
        </w:tc>
        <w:tc>
          <w:tcPr>
            <w:tcW w:w="3191" w:type="dxa"/>
            <w:tcBorders>
              <w:top w:val="nil"/>
              <w:left w:val="nil"/>
              <w:bottom w:val="nil"/>
              <w:right w:val="nil"/>
            </w:tcBorders>
            <w:shd w:val="clear" w:color="auto" w:fill="auto"/>
            <w:hideMark/>
          </w:tcPr>
          <w:p w:rsidR="00D31481" w:rsidRPr="00D31481" w:rsidRDefault="00D31481" w:rsidP="00D31481">
            <w:pPr>
              <w:spacing w:after="0" w:line="240" w:lineRule="auto"/>
              <w:rPr>
                <w:rFonts w:ascii="Calibri" w:eastAsia="Times New Roman" w:hAnsi="Calibri" w:cs="Times New Roman"/>
                <w:color w:val="000000"/>
                <w:sz w:val="20"/>
                <w:szCs w:val="20"/>
                <w:lang w:eastAsia="es-ES_tradnl"/>
              </w:rPr>
            </w:pPr>
          </w:p>
        </w:tc>
        <w:tc>
          <w:tcPr>
            <w:tcW w:w="2642" w:type="dxa"/>
            <w:tcBorders>
              <w:top w:val="nil"/>
              <w:left w:val="nil"/>
              <w:bottom w:val="nil"/>
              <w:right w:val="nil"/>
            </w:tcBorders>
            <w:shd w:val="clear" w:color="auto" w:fill="auto"/>
            <w:noWrap/>
            <w:hideMark/>
          </w:tcPr>
          <w:p w:rsidR="00D31481" w:rsidRPr="00D31481" w:rsidRDefault="00D31481" w:rsidP="00D31481">
            <w:pPr>
              <w:spacing w:after="0" w:line="240" w:lineRule="auto"/>
              <w:rPr>
                <w:rFonts w:ascii="Calibri" w:eastAsia="Times New Roman" w:hAnsi="Calibri" w:cs="Times New Roman"/>
                <w:color w:val="000000"/>
                <w:sz w:val="20"/>
                <w:szCs w:val="20"/>
                <w:lang w:eastAsia="es-ES_tradnl"/>
              </w:rPr>
            </w:pPr>
          </w:p>
        </w:tc>
      </w:tr>
      <w:tr w:rsidR="00D31481" w:rsidRPr="00D31481" w:rsidTr="003E1EBF">
        <w:trPr>
          <w:trHeight w:val="585"/>
        </w:trPr>
        <w:tc>
          <w:tcPr>
            <w:tcW w:w="3600" w:type="dxa"/>
            <w:tcBorders>
              <w:top w:val="nil"/>
              <w:left w:val="nil"/>
              <w:bottom w:val="nil"/>
              <w:right w:val="nil"/>
            </w:tcBorders>
            <w:shd w:val="clear" w:color="auto" w:fill="auto"/>
            <w:noWrap/>
            <w:hideMark/>
          </w:tcPr>
          <w:p w:rsidR="00D31481" w:rsidRPr="00D31481" w:rsidRDefault="00D31481" w:rsidP="00D31481">
            <w:pPr>
              <w:spacing w:after="0" w:line="240" w:lineRule="auto"/>
              <w:rPr>
                <w:rFonts w:ascii="Calibri" w:eastAsia="Times New Roman" w:hAnsi="Calibri" w:cs="Times New Roman"/>
                <w:color w:val="000000"/>
                <w:sz w:val="20"/>
                <w:szCs w:val="20"/>
                <w:lang w:eastAsia="es-ES_tradnl"/>
              </w:rPr>
            </w:pPr>
            <w:r w:rsidRPr="00D31481">
              <w:rPr>
                <w:rFonts w:ascii="Calibri" w:eastAsia="Times New Roman" w:hAnsi="Calibri" w:cs="Times New Roman"/>
                <w:color w:val="000000"/>
                <w:sz w:val="20"/>
                <w:szCs w:val="20"/>
                <w:lang w:eastAsia="es-ES_tradnl"/>
              </w:rPr>
              <w:t>Trading en Eventos</w:t>
            </w:r>
          </w:p>
        </w:tc>
        <w:tc>
          <w:tcPr>
            <w:tcW w:w="3191" w:type="dxa"/>
            <w:tcBorders>
              <w:top w:val="nil"/>
              <w:left w:val="nil"/>
              <w:bottom w:val="nil"/>
              <w:right w:val="nil"/>
            </w:tcBorders>
            <w:shd w:val="clear" w:color="auto" w:fill="auto"/>
            <w:hideMark/>
          </w:tcPr>
          <w:p w:rsidR="00D31481" w:rsidRPr="00D31481" w:rsidRDefault="00D31481" w:rsidP="00D31481">
            <w:pPr>
              <w:spacing w:after="0" w:line="240" w:lineRule="auto"/>
              <w:rPr>
                <w:rFonts w:ascii="Calibri" w:eastAsia="Times New Roman" w:hAnsi="Calibri" w:cs="Times New Roman"/>
                <w:color w:val="000000"/>
                <w:sz w:val="20"/>
                <w:szCs w:val="20"/>
                <w:lang w:eastAsia="es-ES_tradnl"/>
              </w:rPr>
            </w:pPr>
            <w:r w:rsidRPr="00D31481">
              <w:rPr>
                <w:rFonts w:ascii="Calibri" w:eastAsia="Times New Roman" w:hAnsi="Calibri" w:cs="Times New Roman"/>
                <w:color w:val="000000"/>
                <w:sz w:val="20"/>
                <w:szCs w:val="20"/>
                <w:lang w:eastAsia="es-ES_tradnl"/>
              </w:rPr>
              <w:t>Operaciones de corto plazo en macro eventos</w:t>
            </w:r>
          </w:p>
        </w:tc>
        <w:tc>
          <w:tcPr>
            <w:tcW w:w="2642" w:type="dxa"/>
            <w:tcBorders>
              <w:top w:val="nil"/>
              <w:left w:val="nil"/>
              <w:bottom w:val="nil"/>
              <w:right w:val="nil"/>
            </w:tcBorders>
            <w:shd w:val="clear" w:color="auto" w:fill="auto"/>
            <w:noWrap/>
            <w:hideMark/>
          </w:tcPr>
          <w:p w:rsidR="00D31481" w:rsidRPr="00D31481" w:rsidRDefault="00D31481" w:rsidP="00D31481">
            <w:pPr>
              <w:spacing w:after="0" w:line="240" w:lineRule="auto"/>
              <w:rPr>
                <w:rFonts w:ascii="Calibri" w:eastAsia="Times New Roman" w:hAnsi="Calibri" w:cs="Times New Roman"/>
                <w:color w:val="000000"/>
                <w:sz w:val="20"/>
                <w:szCs w:val="20"/>
                <w:lang w:eastAsia="es-ES_tradnl"/>
              </w:rPr>
            </w:pPr>
            <w:r w:rsidRPr="00D31481">
              <w:rPr>
                <w:rFonts w:ascii="Calibri" w:eastAsia="Times New Roman" w:hAnsi="Calibri" w:cs="Times New Roman"/>
                <w:color w:val="000000"/>
                <w:sz w:val="20"/>
                <w:szCs w:val="20"/>
                <w:lang w:eastAsia="es-ES_tradnl"/>
              </w:rPr>
              <w:t>&lt;  1 hora</w:t>
            </w:r>
          </w:p>
        </w:tc>
      </w:tr>
      <w:tr w:rsidR="00D31481" w:rsidRPr="00D31481" w:rsidTr="003E1EBF">
        <w:trPr>
          <w:trHeight w:val="285"/>
        </w:trPr>
        <w:tc>
          <w:tcPr>
            <w:tcW w:w="3600" w:type="dxa"/>
            <w:tcBorders>
              <w:top w:val="nil"/>
              <w:left w:val="nil"/>
              <w:bottom w:val="nil"/>
              <w:right w:val="nil"/>
            </w:tcBorders>
            <w:shd w:val="clear" w:color="auto" w:fill="auto"/>
            <w:noWrap/>
            <w:hideMark/>
          </w:tcPr>
          <w:p w:rsidR="00D31481" w:rsidRPr="00D31481" w:rsidRDefault="00D31481" w:rsidP="00D31481">
            <w:pPr>
              <w:spacing w:after="0" w:line="240" w:lineRule="auto"/>
              <w:rPr>
                <w:rFonts w:ascii="Calibri" w:eastAsia="Times New Roman" w:hAnsi="Calibri" w:cs="Times New Roman"/>
                <w:color w:val="000000"/>
                <w:sz w:val="20"/>
                <w:szCs w:val="20"/>
                <w:lang w:eastAsia="es-ES_tradnl"/>
              </w:rPr>
            </w:pPr>
          </w:p>
        </w:tc>
        <w:tc>
          <w:tcPr>
            <w:tcW w:w="3191" w:type="dxa"/>
            <w:tcBorders>
              <w:top w:val="nil"/>
              <w:left w:val="nil"/>
              <w:bottom w:val="nil"/>
              <w:right w:val="nil"/>
            </w:tcBorders>
            <w:shd w:val="clear" w:color="auto" w:fill="auto"/>
            <w:hideMark/>
          </w:tcPr>
          <w:p w:rsidR="00D31481" w:rsidRPr="00D31481" w:rsidRDefault="00D31481" w:rsidP="00D31481">
            <w:pPr>
              <w:spacing w:after="0" w:line="240" w:lineRule="auto"/>
              <w:rPr>
                <w:rFonts w:ascii="Calibri" w:eastAsia="Times New Roman" w:hAnsi="Calibri" w:cs="Times New Roman"/>
                <w:color w:val="000000"/>
                <w:sz w:val="20"/>
                <w:szCs w:val="20"/>
                <w:lang w:eastAsia="es-ES_tradnl"/>
              </w:rPr>
            </w:pPr>
          </w:p>
        </w:tc>
        <w:tc>
          <w:tcPr>
            <w:tcW w:w="2642" w:type="dxa"/>
            <w:tcBorders>
              <w:top w:val="nil"/>
              <w:left w:val="nil"/>
              <w:bottom w:val="nil"/>
              <w:right w:val="nil"/>
            </w:tcBorders>
            <w:shd w:val="clear" w:color="auto" w:fill="auto"/>
            <w:noWrap/>
            <w:hideMark/>
          </w:tcPr>
          <w:p w:rsidR="00D31481" w:rsidRPr="00D31481" w:rsidRDefault="00D31481" w:rsidP="00D31481">
            <w:pPr>
              <w:spacing w:after="0" w:line="240" w:lineRule="auto"/>
              <w:rPr>
                <w:rFonts w:ascii="Calibri" w:eastAsia="Times New Roman" w:hAnsi="Calibri" w:cs="Times New Roman"/>
                <w:color w:val="000000"/>
                <w:sz w:val="20"/>
                <w:szCs w:val="20"/>
                <w:lang w:eastAsia="es-ES_tradnl"/>
              </w:rPr>
            </w:pPr>
          </w:p>
        </w:tc>
      </w:tr>
      <w:tr w:rsidR="00D31481" w:rsidRPr="00D31481" w:rsidTr="003E1EBF">
        <w:trPr>
          <w:trHeight w:val="856"/>
        </w:trPr>
        <w:tc>
          <w:tcPr>
            <w:tcW w:w="3600" w:type="dxa"/>
            <w:tcBorders>
              <w:top w:val="nil"/>
              <w:left w:val="nil"/>
              <w:bottom w:val="nil"/>
              <w:right w:val="nil"/>
            </w:tcBorders>
            <w:shd w:val="clear" w:color="auto" w:fill="auto"/>
            <w:noWrap/>
            <w:hideMark/>
          </w:tcPr>
          <w:p w:rsidR="00D31481" w:rsidRPr="00D31481" w:rsidRDefault="00D31481" w:rsidP="00D31481">
            <w:pPr>
              <w:spacing w:after="0" w:line="240" w:lineRule="auto"/>
              <w:rPr>
                <w:rFonts w:ascii="Calibri" w:eastAsia="Times New Roman" w:hAnsi="Calibri" w:cs="Times New Roman"/>
                <w:color w:val="000000"/>
                <w:sz w:val="20"/>
                <w:szCs w:val="20"/>
                <w:lang w:eastAsia="es-ES_tradnl"/>
              </w:rPr>
            </w:pPr>
            <w:r w:rsidRPr="00D31481">
              <w:rPr>
                <w:rFonts w:ascii="Calibri" w:eastAsia="Times New Roman" w:hAnsi="Calibri" w:cs="Times New Roman"/>
                <w:color w:val="000000"/>
                <w:sz w:val="20"/>
                <w:szCs w:val="20"/>
                <w:lang w:eastAsia="es-ES_tradnl"/>
              </w:rPr>
              <w:t>Desviaciones de Arbitraje</w:t>
            </w:r>
          </w:p>
        </w:tc>
        <w:tc>
          <w:tcPr>
            <w:tcW w:w="3191" w:type="dxa"/>
            <w:tcBorders>
              <w:top w:val="nil"/>
              <w:left w:val="nil"/>
              <w:bottom w:val="nil"/>
              <w:right w:val="nil"/>
            </w:tcBorders>
            <w:shd w:val="clear" w:color="auto" w:fill="auto"/>
            <w:hideMark/>
          </w:tcPr>
          <w:p w:rsidR="00D31481" w:rsidRPr="00D31481" w:rsidRDefault="00D31481" w:rsidP="00D31481">
            <w:pPr>
              <w:spacing w:after="0" w:line="240" w:lineRule="auto"/>
              <w:rPr>
                <w:rFonts w:ascii="Calibri" w:eastAsia="Times New Roman" w:hAnsi="Calibri" w:cs="Times New Roman"/>
                <w:color w:val="000000"/>
                <w:sz w:val="20"/>
                <w:szCs w:val="20"/>
                <w:lang w:eastAsia="es-ES_tradnl"/>
              </w:rPr>
            </w:pPr>
            <w:r w:rsidRPr="00D31481">
              <w:rPr>
                <w:rFonts w:ascii="Calibri" w:eastAsia="Times New Roman" w:hAnsi="Calibri" w:cs="Times New Roman"/>
                <w:color w:val="000000"/>
                <w:sz w:val="20"/>
                <w:szCs w:val="20"/>
                <w:lang w:eastAsia="es-ES_tradnl"/>
              </w:rPr>
              <w:t>arbitraje estadístico de desviaciones desde situaciones de equilibrio: operaciones triangulares y similares</w:t>
            </w:r>
          </w:p>
        </w:tc>
        <w:tc>
          <w:tcPr>
            <w:tcW w:w="2642" w:type="dxa"/>
            <w:tcBorders>
              <w:top w:val="nil"/>
              <w:left w:val="nil"/>
              <w:bottom w:val="nil"/>
              <w:right w:val="nil"/>
            </w:tcBorders>
            <w:shd w:val="clear" w:color="auto" w:fill="auto"/>
            <w:noWrap/>
            <w:hideMark/>
          </w:tcPr>
          <w:p w:rsidR="00D31481" w:rsidRPr="00D31481" w:rsidRDefault="00F72B74" w:rsidP="00D31481">
            <w:pPr>
              <w:spacing w:after="0" w:line="240" w:lineRule="auto"/>
              <w:rPr>
                <w:rFonts w:ascii="Calibri" w:eastAsia="Times New Roman" w:hAnsi="Calibri" w:cs="Times New Roman"/>
                <w:color w:val="000000"/>
                <w:sz w:val="20"/>
                <w:szCs w:val="20"/>
                <w:lang w:eastAsia="es-ES_tradnl"/>
              </w:rPr>
            </w:pPr>
            <w:r w:rsidRPr="003E1EBF">
              <w:rPr>
                <w:rFonts w:ascii="Calibri" w:eastAsia="Times New Roman" w:hAnsi="Calibri" w:cs="Times New Roman"/>
                <w:color w:val="000000"/>
                <w:sz w:val="20"/>
                <w:szCs w:val="20"/>
                <w:lang w:eastAsia="es-ES_tradnl"/>
              </w:rPr>
              <w:t>&lt;  dí</w:t>
            </w:r>
            <w:r w:rsidR="00D31481" w:rsidRPr="00D31481">
              <w:rPr>
                <w:rFonts w:ascii="Calibri" w:eastAsia="Times New Roman" w:hAnsi="Calibri" w:cs="Times New Roman"/>
                <w:color w:val="000000"/>
                <w:sz w:val="20"/>
                <w:szCs w:val="20"/>
                <w:lang w:eastAsia="es-ES_tradnl"/>
              </w:rPr>
              <w:t>a</w:t>
            </w:r>
          </w:p>
        </w:tc>
      </w:tr>
    </w:tbl>
    <w:p w:rsidR="00D31481" w:rsidRDefault="00D31481" w:rsidP="003235B2">
      <w:pPr>
        <w:autoSpaceDE w:val="0"/>
        <w:autoSpaceDN w:val="0"/>
        <w:adjustRightInd w:val="0"/>
        <w:spacing w:after="0" w:line="240" w:lineRule="auto"/>
        <w:rPr>
          <w:rFonts w:ascii="Century-Book" w:hAnsi="Century-Book" w:cs="Century-Book"/>
          <w:sz w:val="20"/>
          <w:szCs w:val="20"/>
        </w:rPr>
      </w:pPr>
    </w:p>
    <w:p w:rsidR="00D31481" w:rsidRDefault="00D31481" w:rsidP="003235B2">
      <w:pPr>
        <w:autoSpaceDE w:val="0"/>
        <w:autoSpaceDN w:val="0"/>
        <w:adjustRightInd w:val="0"/>
        <w:spacing w:after="0" w:line="240" w:lineRule="auto"/>
        <w:rPr>
          <w:rFonts w:ascii="Century-Book" w:hAnsi="Century-Book" w:cs="Century-Book"/>
          <w:sz w:val="20"/>
          <w:szCs w:val="20"/>
        </w:rPr>
      </w:pPr>
    </w:p>
    <w:p w:rsidR="00D31481" w:rsidRDefault="00D31481" w:rsidP="003235B2">
      <w:pPr>
        <w:autoSpaceDE w:val="0"/>
        <w:autoSpaceDN w:val="0"/>
        <w:adjustRightInd w:val="0"/>
        <w:spacing w:after="0" w:line="240" w:lineRule="auto"/>
        <w:rPr>
          <w:rFonts w:ascii="Century-Book" w:hAnsi="Century-Book" w:cs="Century-Book"/>
          <w:sz w:val="20"/>
          <w:szCs w:val="20"/>
        </w:rPr>
      </w:pPr>
    </w:p>
    <w:p w:rsidR="00D31481" w:rsidRDefault="00D31481" w:rsidP="00692930">
      <w:pPr>
        <w:autoSpaceDE w:val="0"/>
        <w:autoSpaceDN w:val="0"/>
        <w:adjustRightInd w:val="0"/>
        <w:spacing w:after="0" w:line="240" w:lineRule="auto"/>
        <w:jc w:val="both"/>
        <w:rPr>
          <w:rFonts w:ascii="Century-Book" w:hAnsi="Century-Book" w:cs="Century-Book"/>
          <w:sz w:val="20"/>
          <w:szCs w:val="20"/>
        </w:rPr>
      </w:pPr>
    </w:p>
    <w:p w:rsidR="00D31481" w:rsidRDefault="003E1EBF" w:rsidP="00692930">
      <w:pPr>
        <w:autoSpaceDE w:val="0"/>
        <w:autoSpaceDN w:val="0"/>
        <w:adjustRightInd w:val="0"/>
        <w:spacing w:after="0" w:line="240" w:lineRule="auto"/>
        <w:jc w:val="both"/>
        <w:rPr>
          <w:rFonts w:ascii="Century-Book" w:hAnsi="Century-Book" w:cs="Century-Book"/>
          <w:sz w:val="20"/>
          <w:szCs w:val="20"/>
        </w:rPr>
      </w:pPr>
      <w:r>
        <w:rPr>
          <w:rFonts w:ascii="Century-Book" w:hAnsi="Century-Book" w:cs="Century-Book"/>
          <w:sz w:val="20"/>
          <w:szCs w:val="20"/>
        </w:rPr>
        <w:t xml:space="preserve">El desarrollo de estrategias tipo HFT supone una serie de desafíos desconocidos para la mayoría de los gestores de fondos. El primero de ellos es manejar grandes volúmenes de datos </w:t>
      </w:r>
      <w:proofErr w:type="spellStart"/>
      <w:r>
        <w:rPr>
          <w:rFonts w:ascii="Century-Book" w:hAnsi="Century-Book" w:cs="Century-Book"/>
          <w:sz w:val="20"/>
          <w:szCs w:val="20"/>
        </w:rPr>
        <w:t>intra</w:t>
      </w:r>
      <w:proofErr w:type="spellEnd"/>
      <w:r>
        <w:rPr>
          <w:rFonts w:ascii="Century-Book" w:hAnsi="Century-Book" w:cs="Century-Book"/>
          <w:sz w:val="20"/>
          <w:szCs w:val="20"/>
        </w:rPr>
        <w:t xml:space="preserve">-día. A diferencia de los datos diarios usados en muchos de los análisis tradicionales, los datos </w:t>
      </w:r>
      <w:proofErr w:type="spellStart"/>
      <w:r>
        <w:rPr>
          <w:rFonts w:ascii="Century-Book" w:hAnsi="Century-Book" w:cs="Century-Book"/>
          <w:sz w:val="20"/>
          <w:szCs w:val="20"/>
        </w:rPr>
        <w:t>intra</w:t>
      </w:r>
      <w:proofErr w:type="spellEnd"/>
      <w:r>
        <w:rPr>
          <w:rFonts w:ascii="Century-Book" w:hAnsi="Century-Book" w:cs="Century-Book"/>
          <w:sz w:val="20"/>
          <w:szCs w:val="20"/>
        </w:rPr>
        <w:t xml:space="preserve">-día son mucho </w:t>
      </w:r>
      <w:proofErr w:type="spellStart"/>
      <w:r>
        <w:rPr>
          <w:rFonts w:ascii="Century-Book" w:hAnsi="Century-Book" w:cs="Century-Book"/>
          <w:sz w:val="20"/>
          <w:szCs w:val="20"/>
        </w:rPr>
        <w:t>mas</w:t>
      </w:r>
      <w:proofErr w:type="spellEnd"/>
      <w:r>
        <w:rPr>
          <w:rFonts w:ascii="Century-Book" w:hAnsi="Century-Book" w:cs="Century-Book"/>
          <w:sz w:val="20"/>
          <w:szCs w:val="20"/>
        </w:rPr>
        <w:t xml:space="preserve"> voluminosos</w:t>
      </w:r>
      <w:r w:rsidR="00692930">
        <w:rPr>
          <w:rFonts w:ascii="Century-Book" w:hAnsi="Century-Book" w:cs="Century-Book"/>
          <w:sz w:val="20"/>
          <w:szCs w:val="20"/>
        </w:rPr>
        <w:t xml:space="preserve"> y pueden estar repartidos irregularmente de manera que finalmente se requieren nuevas metodologías y nuevos herramientas. Los gestores tradicionales de </w:t>
      </w:r>
      <w:proofErr w:type="spellStart"/>
      <w:r w:rsidR="00692930">
        <w:rPr>
          <w:rFonts w:ascii="Century-Book" w:hAnsi="Century-Book" w:cs="Century-Book"/>
          <w:sz w:val="20"/>
          <w:szCs w:val="20"/>
        </w:rPr>
        <w:t>HedgeFund</w:t>
      </w:r>
      <w:proofErr w:type="spellEnd"/>
      <w:r w:rsidR="00692930">
        <w:rPr>
          <w:rFonts w:ascii="Century-Book" w:hAnsi="Century-Book" w:cs="Century-Book"/>
          <w:sz w:val="20"/>
          <w:szCs w:val="20"/>
        </w:rPr>
        <w:t xml:space="preserve"> requieren que cualquier estrategia tenga un </w:t>
      </w:r>
      <w:proofErr w:type="spellStart"/>
      <w:r w:rsidR="00692930">
        <w:rPr>
          <w:rFonts w:ascii="Century-Book" w:hAnsi="Century-Book" w:cs="Century-Book"/>
          <w:sz w:val="20"/>
          <w:szCs w:val="20"/>
        </w:rPr>
        <w:t>backtesting</w:t>
      </w:r>
      <w:proofErr w:type="spellEnd"/>
      <w:r w:rsidR="00692930">
        <w:rPr>
          <w:rFonts w:ascii="Century-Book" w:hAnsi="Century-Book" w:cs="Century-Book"/>
          <w:sz w:val="20"/>
          <w:szCs w:val="20"/>
        </w:rPr>
        <w:t xml:space="preserve"> hecho contra un histórico mínimo de dos años antes de poner dinero en él. Trabajar con datos </w:t>
      </w:r>
      <w:proofErr w:type="spellStart"/>
      <w:r w:rsidR="00692930">
        <w:rPr>
          <w:rFonts w:ascii="Century-Book" w:hAnsi="Century-Book" w:cs="Century-Book"/>
          <w:sz w:val="20"/>
          <w:szCs w:val="20"/>
        </w:rPr>
        <w:t>intra</w:t>
      </w:r>
      <w:proofErr w:type="spellEnd"/>
      <w:r w:rsidR="00692930">
        <w:rPr>
          <w:rFonts w:ascii="Century-Book" w:hAnsi="Century-Book" w:cs="Century-Book"/>
          <w:sz w:val="20"/>
          <w:szCs w:val="20"/>
        </w:rPr>
        <w:t>-día de m</w:t>
      </w:r>
      <w:r w:rsidR="00195A83">
        <w:rPr>
          <w:rFonts w:ascii="Century-Book" w:hAnsi="Century-Book" w:cs="Century-Book"/>
          <w:sz w:val="20"/>
          <w:szCs w:val="20"/>
        </w:rPr>
        <w:t>á</w:t>
      </w:r>
      <w:r w:rsidR="00692930">
        <w:rPr>
          <w:rFonts w:ascii="Century-Book" w:hAnsi="Century-Book" w:cs="Century-Book"/>
          <w:sz w:val="20"/>
          <w:szCs w:val="20"/>
        </w:rPr>
        <w:t xml:space="preserve">s de dos años puede suponer un desafío para muchos, sin embargo la mayoría de los sistemas requieren para ser </w:t>
      </w:r>
      <w:r w:rsidR="00BE5010">
        <w:rPr>
          <w:rFonts w:ascii="Century-Book" w:hAnsi="Century-Book" w:cs="Century-Book"/>
          <w:sz w:val="20"/>
          <w:szCs w:val="20"/>
        </w:rPr>
        <w:t xml:space="preserve">realmente </w:t>
      </w:r>
      <w:r w:rsidR="00692930">
        <w:rPr>
          <w:rFonts w:ascii="Century-Book" w:hAnsi="Century-Book" w:cs="Century-Book"/>
          <w:sz w:val="20"/>
          <w:szCs w:val="20"/>
        </w:rPr>
        <w:t xml:space="preserve">creíbles </w:t>
      </w:r>
      <w:r w:rsidR="00BE5010">
        <w:rPr>
          <w:rFonts w:ascii="Century-Book" w:hAnsi="Century-Book" w:cs="Century-Book"/>
          <w:sz w:val="20"/>
          <w:szCs w:val="20"/>
        </w:rPr>
        <w:t xml:space="preserve">necesitan históricos de cuatro años ó </w:t>
      </w:r>
      <w:proofErr w:type="spellStart"/>
      <w:r w:rsidR="00BE5010">
        <w:rPr>
          <w:rFonts w:ascii="Century-Book" w:hAnsi="Century-Book" w:cs="Century-Book"/>
          <w:sz w:val="20"/>
          <w:szCs w:val="20"/>
        </w:rPr>
        <w:t>mas</w:t>
      </w:r>
      <w:proofErr w:type="spellEnd"/>
      <w:r w:rsidR="00BE5010">
        <w:rPr>
          <w:rFonts w:ascii="Century-Book" w:hAnsi="Century-Book" w:cs="Century-Book"/>
          <w:sz w:val="20"/>
          <w:szCs w:val="20"/>
        </w:rPr>
        <w:t xml:space="preserve"> para poder observar su comportamiento ante posibles problemas.</w:t>
      </w:r>
    </w:p>
    <w:p w:rsidR="00BE5010" w:rsidRDefault="00BE5010" w:rsidP="00692930">
      <w:pPr>
        <w:autoSpaceDE w:val="0"/>
        <w:autoSpaceDN w:val="0"/>
        <w:adjustRightInd w:val="0"/>
        <w:spacing w:after="0" w:line="240" w:lineRule="auto"/>
        <w:jc w:val="both"/>
        <w:rPr>
          <w:rFonts w:ascii="Century-Book" w:hAnsi="Century-Book" w:cs="Century-Book"/>
          <w:sz w:val="20"/>
          <w:szCs w:val="20"/>
        </w:rPr>
      </w:pPr>
      <w:r>
        <w:rPr>
          <w:rFonts w:ascii="Century-Book" w:hAnsi="Century-Book" w:cs="Century-Book"/>
          <w:sz w:val="20"/>
          <w:szCs w:val="20"/>
        </w:rPr>
        <w:t>El segundo de los retos es la precisión de las señales. Hay que tener en cuenta que las ganancias se pueden transformar en pérdidas rápidamente si las señales no están bien equilibradas, una señal tiene que ser suficientemente precisa como para dispara una operación en una fracción de segundo sin una segunda confirmación.</w:t>
      </w:r>
    </w:p>
    <w:p w:rsidR="00BE5010" w:rsidRDefault="00BE5010" w:rsidP="00692930">
      <w:pPr>
        <w:autoSpaceDE w:val="0"/>
        <w:autoSpaceDN w:val="0"/>
        <w:adjustRightInd w:val="0"/>
        <w:spacing w:after="0" w:line="240" w:lineRule="auto"/>
        <w:jc w:val="both"/>
        <w:rPr>
          <w:rFonts w:ascii="Century-Book" w:hAnsi="Century-Book" w:cs="Century-Book"/>
          <w:sz w:val="20"/>
          <w:szCs w:val="20"/>
        </w:rPr>
      </w:pPr>
      <w:r>
        <w:rPr>
          <w:rFonts w:ascii="Century-Book" w:hAnsi="Century-Book" w:cs="Century-Book"/>
          <w:sz w:val="20"/>
          <w:szCs w:val="20"/>
        </w:rPr>
        <w:t>El tercer reto es la velocidad de ejecución. Las órdenes tradicionales no tiene</w:t>
      </w:r>
      <w:r w:rsidR="00195A83">
        <w:rPr>
          <w:rFonts w:ascii="Century-Book" w:hAnsi="Century-Book" w:cs="Century-Book"/>
          <w:sz w:val="20"/>
          <w:szCs w:val="20"/>
        </w:rPr>
        <w:t>n</w:t>
      </w:r>
      <w:r>
        <w:rPr>
          <w:rFonts w:ascii="Century-Book" w:hAnsi="Century-Book" w:cs="Century-Book"/>
          <w:sz w:val="20"/>
          <w:szCs w:val="20"/>
        </w:rPr>
        <w:t xml:space="preserve"> cabida en </w:t>
      </w:r>
      <w:r w:rsidR="00195A83">
        <w:rPr>
          <w:rFonts w:ascii="Century-Book" w:hAnsi="Century-Book" w:cs="Century-Book"/>
          <w:sz w:val="20"/>
          <w:szCs w:val="20"/>
        </w:rPr>
        <w:t>el marco de funcionamiento del HFT. La única vía para conseguir velocidad es mediante la automatización de la generación y ejecución de la orden.</w:t>
      </w:r>
      <w:r w:rsidR="002113E2">
        <w:rPr>
          <w:rFonts w:ascii="Century-Book" w:hAnsi="Century-Book" w:cs="Century-Book"/>
          <w:sz w:val="20"/>
          <w:szCs w:val="20"/>
        </w:rPr>
        <w:t xml:space="preserve"> Se requiere experiencia en el desarrollo de sistemas automáticos de </w:t>
      </w:r>
      <w:r w:rsidR="002113E2">
        <w:rPr>
          <w:rFonts w:ascii="Century-Book" w:hAnsi="Century-Book" w:cs="Century-Book"/>
          <w:sz w:val="20"/>
          <w:szCs w:val="20"/>
        </w:rPr>
        <w:lastRenderedPageBreak/>
        <w:t>inversión para la programación de estos sistemas.</w:t>
      </w:r>
      <w:r w:rsidR="006831B7">
        <w:rPr>
          <w:rFonts w:ascii="Century-Book" w:hAnsi="Century-Book" w:cs="Century-Book"/>
          <w:sz w:val="20"/>
          <w:szCs w:val="20"/>
        </w:rPr>
        <w:t xml:space="preserve"> Los errores en tiempo de ejecución pueden ser muy costosos y por tanto la supervisión humana de los sistemas que están en producción es esencial para asegurarse de que el sistema dentr</w:t>
      </w:r>
      <w:r w:rsidR="003C27AD">
        <w:rPr>
          <w:rFonts w:ascii="Century-Book" w:hAnsi="Century-Book" w:cs="Century-Book"/>
          <w:sz w:val="20"/>
          <w:szCs w:val="20"/>
        </w:rPr>
        <w:t>o de los riesgos pre-especificad</w:t>
      </w:r>
      <w:r w:rsidR="006831B7">
        <w:rPr>
          <w:rFonts w:ascii="Century-Book" w:hAnsi="Century-Book" w:cs="Century-Book"/>
          <w:sz w:val="20"/>
          <w:szCs w:val="20"/>
        </w:rPr>
        <w:t>os y cono</w:t>
      </w:r>
      <w:r w:rsidR="008E7002">
        <w:rPr>
          <w:rFonts w:ascii="Century-Book" w:hAnsi="Century-Book" w:cs="Century-Book"/>
          <w:sz w:val="20"/>
          <w:szCs w:val="20"/>
        </w:rPr>
        <w:t>c</w:t>
      </w:r>
      <w:r w:rsidR="006831B7">
        <w:rPr>
          <w:rFonts w:ascii="Century-Book" w:hAnsi="Century-Book" w:cs="Century-Book"/>
          <w:sz w:val="20"/>
          <w:szCs w:val="20"/>
        </w:rPr>
        <w:t>idos</w:t>
      </w:r>
    </w:p>
    <w:p w:rsidR="002113E2" w:rsidRDefault="002113E2" w:rsidP="00692930">
      <w:pPr>
        <w:autoSpaceDE w:val="0"/>
        <w:autoSpaceDN w:val="0"/>
        <w:adjustRightInd w:val="0"/>
        <w:spacing w:after="0" w:line="240" w:lineRule="auto"/>
        <w:jc w:val="both"/>
        <w:rPr>
          <w:rFonts w:ascii="Century-Book" w:hAnsi="Century-Book" w:cs="Century-Book"/>
          <w:sz w:val="20"/>
          <w:szCs w:val="20"/>
        </w:rPr>
      </w:pPr>
    </w:p>
    <w:p w:rsidR="008E7002" w:rsidRPr="008E7002" w:rsidRDefault="008E7002" w:rsidP="008E7002">
      <w:pPr>
        <w:autoSpaceDE w:val="0"/>
        <w:autoSpaceDN w:val="0"/>
        <w:adjustRightInd w:val="0"/>
        <w:spacing w:after="0" w:line="240" w:lineRule="auto"/>
        <w:jc w:val="both"/>
        <w:rPr>
          <w:rFonts w:ascii="Century-Book" w:hAnsi="Century-Book" w:cs="Century-Book"/>
          <w:sz w:val="20"/>
          <w:szCs w:val="20"/>
        </w:rPr>
      </w:pPr>
      <w:r w:rsidRPr="008E7002">
        <w:rPr>
          <w:rFonts w:ascii="Century-Book" w:hAnsi="Century-Book" w:cs="Century-Book"/>
          <w:sz w:val="20"/>
          <w:szCs w:val="20"/>
        </w:rPr>
        <w:t xml:space="preserve">Desde una perspectiva operacional las decisiones de alta velocidad y baja transparencia basadas </w:t>
      </w:r>
      <w:r>
        <w:rPr>
          <w:rFonts w:ascii="Century-Book" w:hAnsi="Century-Book" w:cs="Century-Book"/>
          <w:sz w:val="20"/>
          <w:szCs w:val="20"/>
        </w:rPr>
        <w:t xml:space="preserve">en </w:t>
      </w:r>
      <w:r w:rsidR="00E31C6C">
        <w:rPr>
          <w:rFonts w:ascii="Century-Book" w:hAnsi="Century-Book" w:cs="Century-Book"/>
          <w:sz w:val="20"/>
          <w:szCs w:val="20"/>
        </w:rPr>
        <w:t>IT</w:t>
      </w:r>
      <w:r>
        <w:rPr>
          <w:rFonts w:ascii="Century-Book" w:hAnsi="Century-Book" w:cs="Century-Book"/>
          <w:sz w:val="20"/>
          <w:szCs w:val="20"/>
        </w:rPr>
        <w:t xml:space="preserve"> requieren un nivel de confort muy alto en lo relativo a la ejecución automática. Este nivel de confort debe ser testeado contra amenazas informáticas como virus</w:t>
      </w:r>
      <w:r w:rsidR="00E31C6C">
        <w:rPr>
          <w:rFonts w:ascii="Century-Book" w:hAnsi="Century-Book" w:cs="Century-Book"/>
          <w:sz w:val="20"/>
          <w:szCs w:val="20"/>
        </w:rPr>
        <w:t>,</w:t>
      </w:r>
      <w:r>
        <w:rPr>
          <w:rFonts w:ascii="Century-Book" w:hAnsi="Century-Book" w:cs="Century-Book"/>
          <w:sz w:val="20"/>
          <w:szCs w:val="20"/>
        </w:rPr>
        <w:t xml:space="preserve"> troyanos y otras amenazas a la seguridad informática que pueden dejar paralizados los sistemas. </w:t>
      </w:r>
    </w:p>
    <w:p w:rsidR="008E7002" w:rsidRPr="008E7002" w:rsidRDefault="008E7002" w:rsidP="003C27AD">
      <w:pPr>
        <w:autoSpaceDE w:val="0"/>
        <w:autoSpaceDN w:val="0"/>
        <w:adjustRightInd w:val="0"/>
        <w:spacing w:after="0" w:line="240" w:lineRule="auto"/>
        <w:jc w:val="both"/>
        <w:rPr>
          <w:rFonts w:ascii="Century-Book" w:hAnsi="Century-Book" w:cs="Century-Book"/>
          <w:sz w:val="20"/>
          <w:szCs w:val="20"/>
        </w:rPr>
      </w:pPr>
    </w:p>
    <w:p w:rsidR="008E7002" w:rsidRPr="00D64EDD" w:rsidRDefault="008E7002" w:rsidP="003C27AD">
      <w:pPr>
        <w:autoSpaceDE w:val="0"/>
        <w:autoSpaceDN w:val="0"/>
        <w:adjustRightInd w:val="0"/>
        <w:spacing w:after="0" w:line="240" w:lineRule="auto"/>
        <w:jc w:val="both"/>
        <w:rPr>
          <w:rFonts w:ascii="Century-Book" w:hAnsi="Century-Book" w:cs="Century-Book"/>
          <w:sz w:val="20"/>
          <w:szCs w:val="20"/>
        </w:rPr>
      </w:pPr>
      <w:r w:rsidRPr="00D64EDD">
        <w:rPr>
          <w:rFonts w:ascii="Century-Book" w:hAnsi="Century-Book" w:cs="Century-Book"/>
          <w:sz w:val="20"/>
          <w:szCs w:val="20"/>
        </w:rPr>
        <w:t xml:space="preserve">Finalmente </w:t>
      </w:r>
      <w:r w:rsidR="00D64EDD" w:rsidRPr="00D64EDD">
        <w:rPr>
          <w:rFonts w:ascii="Century-Book" w:hAnsi="Century-Book" w:cs="Century-Book"/>
          <w:sz w:val="20"/>
          <w:szCs w:val="20"/>
        </w:rPr>
        <w:t xml:space="preserve">hay que decir que permanecer en el juego del HFT requiere mantenimiento y actualizaciones constantes </w:t>
      </w:r>
      <w:r w:rsidR="003C27AD">
        <w:rPr>
          <w:rFonts w:ascii="Century-Book" w:hAnsi="Century-Book" w:cs="Century-Book"/>
          <w:sz w:val="20"/>
          <w:szCs w:val="20"/>
        </w:rPr>
        <w:t xml:space="preserve">que permitan competir con la inversión en IT de los grandes bancos y </w:t>
      </w:r>
      <w:proofErr w:type="spellStart"/>
      <w:r w:rsidR="003C27AD">
        <w:rPr>
          <w:rFonts w:ascii="Century-Book" w:hAnsi="Century-Book" w:cs="Century-Book"/>
          <w:sz w:val="20"/>
          <w:szCs w:val="20"/>
        </w:rPr>
        <w:t>HedgeFunds</w:t>
      </w:r>
      <w:proofErr w:type="spellEnd"/>
      <w:r w:rsidR="003C27AD">
        <w:rPr>
          <w:rFonts w:ascii="Century-Book" w:hAnsi="Century-Book" w:cs="Century-Book"/>
          <w:sz w:val="20"/>
          <w:szCs w:val="20"/>
        </w:rPr>
        <w:t xml:space="preserve"> que acaban disponiendo de</w:t>
      </w:r>
      <w:r w:rsidR="00E31C6C">
        <w:rPr>
          <w:rFonts w:ascii="Century-Book" w:hAnsi="Century-Book" w:cs="Century-Book"/>
          <w:sz w:val="20"/>
          <w:szCs w:val="20"/>
        </w:rPr>
        <w:t xml:space="preserve"> </w:t>
      </w:r>
      <w:r w:rsidR="003C27AD">
        <w:rPr>
          <w:rFonts w:ascii="Century-Book" w:hAnsi="Century-Book" w:cs="Century-Book"/>
          <w:sz w:val="20"/>
          <w:szCs w:val="20"/>
        </w:rPr>
        <w:t>los motores de ejecución</w:t>
      </w:r>
      <w:r w:rsidR="00E31C6C">
        <w:rPr>
          <w:rFonts w:ascii="Century-Book" w:hAnsi="Century-Book" w:cs="Century-Book"/>
          <w:sz w:val="20"/>
          <w:szCs w:val="20"/>
        </w:rPr>
        <w:t xml:space="preserve"> (hardware software líneas de comunicación)</w:t>
      </w:r>
      <w:r w:rsidR="003C27AD">
        <w:rPr>
          <w:rFonts w:ascii="Century-Book" w:hAnsi="Century-Book" w:cs="Century-Book"/>
          <w:sz w:val="20"/>
          <w:szCs w:val="20"/>
        </w:rPr>
        <w:t xml:space="preserve"> m</w:t>
      </w:r>
      <w:r w:rsidR="00C74649">
        <w:rPr>
          <w:rFonts w:ascii="Century-Book" w:hAnsi="Century-Book" w:cs="Century-Book"/>
          <w:sz w:val="20"/>
          <w:szCs w:val="20"/>
        </w:rPr>
        <w:t>á</w:t>
      </w:r>
      <w:r w:rsidR="003C27AD">
        <w:rPr>
          <w:rFonts w:ascii="Century-Book" w:hAnsi="Century-Book" w:cs="Century-Book"/>
          <w:sz w:val="20"/>
          <w:szCs w:val="20"/>
        </w:rPr>
        <w:t>s rápidos del mundo</w:t>
      </w:r>
    </w:p>
    <w:p w:rsidR="008E7002" w:rsidRPr="00D64EDD" w:rsidRDefault="008E7002" w:rsidP="0084428D">
      <w:pPr>
        <w:autoSpaceDE w:val="0"/>
        <w:autoSpaceDN w:val="0"/>
        <w:adjustRightInd w:val="0"/>
        <w:spacing w:after="0" w:line="240" w:lineRule="auto"/>
        <w:jc w:val="both"/>
        <w:rPr>
          <w:rFonts w:ascii="Century-Book" w:hAnsi="Century-Book" w:cs="Century-Book"/>
          <w:sz w:val="20"/>
          <w:szCs w:val="20"/>
        </w:rPr>
      </w:pPr>
    </w:p>
    <w:p w:rsidR="003C27AD" w:rsidRPr="003C27AD" w:rsidRDefault="003C27AD" w:rsidP="003503D6">
      <w:pPr>
        <w:autoSpaceDE w:val="0"/>
        <w:autoSpaceDN w:val="0"/>
        <w:adjustRightInd w:val="0"/>
        <w:spacing w:after="0" w:line="240" w:lineRule="auto"/>
        <w:jc w:val="both"/>
        <w:rPr>
          <w:rFonts w:ascii="Century-Book" w:hAnsi="Century-Book" w:cs="Century-Book"/>
          <w:sz w:val="20"/>
          <w:szCs w:val="20"/>
        </w:rPr>
      </w:pPr>
      <w:r w:rsidRPr="003C27AD">
        <w:rPr>
          <w:rFonts w:ascii="Century-Book" w:hAnsi="Century-Book" w:cs="Century-Book"/>
          <w:sz w:val="20"/>
          <w:szCs w:val="20"/>
        </w:rPr>
        <w:t xml:space="preserve">En conjunto la operativa HFT </w:t>
      </w:r>
      <w:r>
        <w:rPr>
          <w:rFonts w:ascii="Century-Book" w:hAnsi="Century-Book" w:cs="Century-Book"/>
          <w:sz w:val="20"/>
          <w:szCs w:val="20"/>
        </w:rPr>
        <w:t>es u</w:t>
      </w:r>
      <w:r w:rsidR="00586087">
        <w:rPr>
          <w:rFonts w:ascii="Century-Book" w:hAnsi="Century-Book" w:cs="Century-Book"/>
          <w:sz w:val="20"/>
          <w:szCs w:val="20"/>
        </w:rPr>
        <w:t>n esfuerzo duro pero rentable q</w:t>
      </w:r>
      <w:r>
        <w:rPr>
          <w:rFonts w:ascii="Century-Book" w:hAnsi="Century-Book" w:cs="Century-Book"/>
          <w:sz w:val="20"/>
          <w:szCs w:val="20"/>
        </w:rPr>
        <w:t>ue puede generar beneficios estables en diferentes condiciones de mercado</w:t>
      </w:r>
      <w:r w:rsidR="00E31C6C">
        <w:rPr>
          <w:rFonts w:ascii="Century-Book" w:hAnsi="Century-Book" w:cs="Century-Book"/>
          <w:sz w:val="20"/>
          <w:szCs w:val="20"/>
        </w:rPr>
        <w:t>. T</w:t>
      </w:r>
      <w:r w:rsidR="00586087">
        <w:rPr>
          <w:rFonts w:ascii="Century-Book" w:hAnsi="Century-Book" w:cs="Century-Book"/>
          <w:sz w:val="20"/>
          <w:szCs w:val="20"/>
        </w:rPr>
        <w:t>ener un conocimiento profundo en IT y Finanzas son prerrequisitos habituales necesarios para la implementación exitosa de estrategias HFT. Aunque retornos pasados no son nunca garantía de retornos futuros</w:t>
      </w:r>
      <w:r w:rsidR="00E31C6C">
        <w:rPr>
          <w:rFonts w:ascii="Century-Book" w:hAnsi="Century-Book" w:cs="Century-Book"/>
          <w:sz w:val="20"/>
          <w:szCs w:val="20"/>
        </w:rPr>
        <w:t>,</w:t>
      </w:r>
      <w:r w:rsidR="00586087">
        <w:rPr>
          <w:rFonts w:ascii="Century-Book" w:hAnsi="Century-Book" w:cs="Century-Book"/>
          <w:sz w:val="20"/>
          <w:szCs w:val="20"/>
        </w:rPr>
        <w:t xml:space="preserve"> una solida gestión de las métricas </w:t>
      </w:r>
      <w:r w:rsidR="0084428D">
        <w:rPr>
          <w:rFonts w:ascii="Century-Book" w:hAnsi="Century-Book" w:cs="Century-Book"/>
          <w:sz w:val="20"/>
          <w:szCs w:val="20"/>
        </w:rPr>
        <w:t xml:space="preserve">aplicadas a </w:t>
      </w:r>
      <w:r w:rsidR="00586087">
        <w:rPr>
          <w:rFonts w:ascii="Century-Book" w:hAnsi="Century-Book" w:cs="Century-Book"/>
          <w:sz w:val="20"/>
          <w:szCs w:val="20"/>
        </w:rPr>
        <w:t>retornos netos auditables</w:t>
      </w:r>
      <w:r w:rsidR="00E31C6C">
        <w:rPr>
          <w:rFonts w:ascii="Century-Book" w:hAnsi="Century-Book" w:cs="Century-Book"/>
          <w:sz w:val="20"/>
          <w:szCs w:val="20"/>
        </w:rPr>
        <w:t>,</w:t>
      </w:r>
      <w:r w:rsidR="0084428D">
        <w:rPr>
          <w:rFonts w:ascii="Century-Book" w:hAnsi="Century-Book" w:cs="Century-Book"/>
          <w:sz w:val="20"/>
          <w:szCs w:val="20"/>
        </w:rPr>
        <w:t xml:space="preserve"> tienen alta probabilidad de dar a los inversores una idea correcta acerca de las habilidades del gestor </w:t>
      </w:r>
      <w:r w:rsidR="00E31C6C">
        <w:rPr>
          <w:rFonts w:ascii="Century-Book" w:hAnsi="Century-Book" w:cs="Century-Book"/>
          <w:sz w:val="20"/>
          <w:szCs w:val="20"/>
        </w:rPr>
        <w:t>de un sistema HFT.</w:t>
      </w:r>
    </w:p>
    <w:p w:rsidR="003C27AD" w:rsidRPr="003C27AD" w:rsidRDefault="003C27AD" w:rsidP="003503D6">
      <w:pPr>
        <w:autoSpaceDE w:val="0"/>
        <w:autoSpaceDN w:val="0"/>
        <w:adjustRightInd w:val="0"/>
        <w:spacing w:after="0" w:line="240" w:lineRule="auto"/>
        <w:jc w:val="both"/>
        <w:rPr>
          <w:rFonts w:ascii="Century-Book" w:hAnsi="Century-Book" w:cs="Century-Book"/>
          <w:sz w:val="20"/>
          <w:szCs w:val="20"/>
        </w:rPr>
      </w:pPr>
    </w:p>
    <w:p w:rsidR="003C27AD" w:rsidRDefault="0084428D" w:rsidP="003503D6">
      <w:pPr>
        <w:autoSpaceDE w:val="0"/>
        <w:autoSpaceDN w:val="0"/>
        <w:adjustRightInd w:val="0"/>
        <w:spacing w:after="0" w:line="240" w:lineRule="auto"/>
        <w:jc w:val="both"/>
        <w:rPr>
          <w:rFonts w:ascii="Century-Book" w:hAnsi="Century-Book" w:cs="Century-Book"/>
          <w:sz w:val="20"/>
          <w:szCs w:val="20"/>
        </w:rPr>
      </w:pPr>
      <w:r>
        <w:rPr>
          <w:rFonts w:ascii="Century-Book" w:hAnsi="Century-Book" w:cs="Century-Book"/>
          <w:sz w:val="20"/>
          <w:szCs w:val="20"/>
        </w:rPr>
        <w:t>Este libro ofrece el</w:t>
      </w:r>
      <w:r w:rsidR="00E31C6C">
        <w:rPr>
          <w:rFonts w:ascii="Century-Book" w:hAnsi="Century-Book" w:cs="Century-Book"/>
          <w:sz w:val="20"/>
          <w:szCs w:val="20"/>
        </w:rPr>
        <w:t xml:space="preserve"> primer manual aplicado sobre có</w:t>
      </w:r>
      <w:r>
        <w:rPr>
          <w:rFonts w:ascii="Century-Book" w:hAnsi="Century-Book" w:cs="Century-Book"/>
          <w:sz w:val="20"/>
          <w:szCs w:val="20"/>
        </w:rPr>
        <w:t>mo construir sistemas HFT</w:t>
      </w:r>
      <w:r w:rsidR="00E31C6C">
        <w:rPr>
          <w:rFonts w:ascii="Century-Book" w:hAnsi="Century-Book" w:cs="Century-Book"/>
          <w:sz w:val="20"/>
          <w:szCs w:val="20"/>
        </w:rPr>
        <w:t>,</w:t>
      </w:r>
      <w:r>
        <w:rPr>
          <w:rFonts w:ascii="Century-Book" w:hAnsi="Century-Book" w:cs="Century-Book"/>
          <w:sz w:val="20"/>
          <w:szCs w:val="20"/>
        </w:rPr>
        <w:t xml:space="preserve"> cubriendo con suficiente profundidad los aspectos relacionados con el HFT</w:t>
      </w:r>
      <w:r w:rsidR="00E31C6C">
        <w:rPr>
          <w:rFonts w:ascii="Century-Book" w:hAnsi="Century-Book" w:cs="Century-Book"/>
          <w:sz w:val="20"/>
          <w:szCs w:val="20"/>
        </w:rPr>
        <w:t>,</w:t>
      </w:r>
      <w:r>
        <w:rPr>
          <w:rFonts w:ascii="Century-Book" w:hAnsi="Century-Book" w:cs="Century-Book"/>
          <w:sz w:val="20"/>
          <w:szCs w:val="20"/>
        </w:rPr>
        <w:t xml:space="preserve"> pero dejando la complejidad de los desarrollos matemáticos a sus publicaciones originales </w:t>
      </w:r>
      <w:r w:rsidR="003503D6">
        <w:rPr>
          <w:rFonts w:ascii="Century-Book" w:hAnsi="Century-Book" w:cs="Century-Book"/>
          <w:sz w:val="20"/>
          <w:szCs w:val="20"/>
        </w:rPr>
        <w:t>referenciadas a lo largo del libro.</w:t>
      </w:r>
    </w:p>
    <w:p w:rsidR="0084428D" w:rsidRDefault="0084428D" w:rsidP="007F6D73">
      <w:pPr>
        <w:autoSpaceDE w:val="0"/>
        <w:autoSpaceDN w:val="0"/>
        <w:adjustRightInd w:val="0"/>
        <w:spacing w:after="0" w:line="240" w:lineRule="auto"/>
        <w:rPr>
          <w:rFonts w:ascii="Century-Book" w:hAnsi="Century-Book" w:cs="Century-Book"/>
          <w:sz w:val="20"/>
          <w:szCs w:val="20"/>
        </w:rPr>
      </w:pPr>
    </w:p>
    <w:p w:rsidR="003503D6" w:rsidRDefault="003503D6" w:rsidP="007F6D73">
      <w:pPr>
        <w:autoSpaceDE w:val="0"/>
        <w:autoSpaceDN w:val="0"/>
        <w:adjustRightInd w:val="0"/>
        <w:spacing w:after="0" w:line="240" w:lineRule="auto"/>
        <w:rPr>
          <w:rFonts w:ascii="Century-Book" w:hAnsi="Century-Book" w:cs="Century-Book"/>
          <w:sz w:val="20"/>
          <w:szCs w:val="20"/>
        </w:rPr>
      </w:pPr>
      <w:r>
        <w:rPr>
          <w:rFonts w:ascii="Century-Book" w:hAnsi="Century-Book" w:cs="Century-Book"/>
          <w:sz w:val="20"/>
          <w:szCs w:val="20"/>
        </w:rPr>
        <w:t>Encontraran útil este libro las siguientes profesiones:</w:t>
      </w:r>
    </w:p>
    <w:p w:rsidR="00E31C6C" w:rsidRDefault="00E31C6C" w:rsidP="007F6D73">
      <w:pPr>
        <w:autoSpaceDE w:val="0"/>
        <w:autoSpaceDN w:val="0"/>
        <w:adjustRightInd w:val="0"/>
        <w:spacing w:after="0" w:line="240" w:lineRule="auto"/>
        <w:rPr>
          <w:rFonts w:ascii="Century-Book" w:hAnsi="Century-Book" w:cs="Century-Book"/>
          <w:sz w:val="20"/>
          <w:szCs w:val="20"/>
        </w:rPr>
      </w:pPr>
    </w:p>
    <w:p w:rsidR="003503D6" w:rsidRDefault="003503D6" w:rsidP="003503D6">
      <w:pPr>
        <w:pStyle w:val="Prrafodelista"/>
        <w:numPr>
          <w:ilvl w:val="0"/>
          <w:numId w:val="2"/>
        </w:numPr>
        <w:autoSpaceDE w:val="0"/>
        <w:autoSpaceDN w:val="0"/>
        <w:adjustRightInd w:val="0"/>
        <w:spacing w:after="0" w:line="240" w:lineRule="auto"/>
        <w:rPr>
          <w:rFonts w:ascii="Century-Book" w:hAnsi="Century-Book" w:cs="Century-Book"/>
          <w:sz w:val="20"/>
          <w:szCs w:val="20"/>
        </w:rPr>
      </w:pPr>
      <w:r>
        <w:rPr>
          <w:rFonts w:ascii="Century-Book" w:hAnsi="Century-Book" w:cs="Century-Book"/>
          <w:sz w:val="20"/>
          <w:szCs w:val="20"/>
        </w:rPr>
        <w:t xml:space="preserve">Gestores de inversión </w:t>
      </w:r>
      <w:proofErr w:type="spellStart"/>
      <w:r>
        <w:rPr>
          <w:rFonts w:ascii="Century-Book" w:hAnsi="Century-Book" w:cs="Century-Book"/>
          <w:sz w:val="20"/>
          <w:szCs w:val="20"/>
        </w:rPr>
        <w:t>senior</w:t>
      </w:r>
      <w:proofErr w:type="spellEnd"/>
      <w:r>
        <w:rPr>
          <w:rFonts w:ascii="Century-Book" w:hAnsi="Century-Book" w:cs="Century-Book"/>
          <w:sz w:val="20"/>
          <w:szCs w:val="20"/>
        </w:rPr>
        <w:t xml:space="preserve"> que buscan familiarización con el HFT</w:t>
      </w:r>
    </w:p>
    <w:p w:rsidR="003503D6" w:rsidRDefault="003503D6" w:rsidP="003503D6">
      <w:pPr>
        <w:pStyle w:val="Prrafodelista"/>
        <w:numPr>
          <w:ilvl w:val="0"/>
          <w:numId w:val="2"/>
        </w:numPr>
        <w:autoSpaceDE w:val="0"/>
        <w:autoSpaceDN w:val="0"/>
        <w:adjustRightInd w:val="0"/>
        <w:spacing w:after="0" w:line="240" w:lineRule="auto"/>
        <w:rPr>
          <w:rFonts w:ascii="Century-Book" w:hAnsi="Century-Book" w:cs="Century-Book"/>
          <w:sz w:val="20"/>
          <w:szCs w:val="20"/>
        </w:rPr>
      </w:pPr>
      <w:r>
        <w:rPr>
          <w:rFonts w:ascii="Century-Book" w:hAnsi="Century-Book" w:cs="Century-Book"/>
          <w:sz w:val="20"/>
          <w:szCs w:val="20"/>
        </w:rPr>
        <w:t>Inversores institucionales, como fondos de pensiones que quieren tener un mejor entendimiento de los riesgos y retornos del HFT</w:t>
      </w:r>
    </w:p>
    <w:p w:rsidR="003503D6" w:rsidRDefault="003503D6" w:rsidP="003503D6">
      <w:pPr>
        <w:pStyle w:val="Prrafodelista"/>
        <w:numPr>
          <w:ilvl w:val="0"/>
          <w:numId w:val="2"/>
        </w:numPr>
        <w:autoSpaceDE w:val="0"/>
        <w:autoSpaceDN w:val="0"/>
        <w:adjustRightInd w:val="0"/>
        <w:spacing w:after="0" w:line="240" w:lineRule="auto"/>
        <w:rPr>
          <w:rFonts w:ascii="Century-Book" w:hAnsi="Century-Book" w:cs="Century-Book"/>
          <w:sz w:val="20"/>
          <w:szCs w:val="20"/>
        </w:rPr>
      </w:pPr>
      <w:r>
        <w:rPr>
          <w:rFonts w:ascii="Century-Book" w:hAnsi="Century-Book" w:cs="Century-Book"/>
          <w:sz w:val="20"/>
          <w:szCs w:val="20"/>
        </w:rPr>
        <w:t>Analistas cuantitativos que buscan una guía que sintetice la literatura académica contemporánea y sus aplicaciones al HFT</w:t>
      </w:r>
    </w:p>
    <w:p w:rsidR="003503D6" w:rsidRDefault="003503D6" w:rsidP="003503D6">
      <w:pPr>
        <w:pStyle w:val="Prrafodelista"/>
        <w:numPr>
          <w:ilvl w:val="0"/>
          <w:numId w:val="2"/>
        </w:numPr>
        <w:autoSpaceDE w:val="0"/>
        <w:autoSpaceDN w:val="0"/>
        <w:adjustRightInd w:val="0"/>
        <w:spacing w:after="0" w:line="240" w:lineRule="auto"/>
        <w:rPr>
          <w:rFonts w:ascii="Century-Book" w:hAnsi="Century-Book" w:cs="Century-Book"/>
          <w:sz w:val="20"/>
          <w:szCs w:val="20"/>
        </w:rPr>
      </w:pPr>
      <w:r>
        <w:rPr>
          <w:rFonts w:ascii="Century-Book" w:hAnsi="Century-Book" w:cs="Century-Book"/>
          <w:sz w:val="20"/>
          <w:szCs w:val="20"/>
        </w:rPr>
        <w:t>Personal de IT que trabaje en tareas de soporte a las operaciones de sistemas HFT</w:t>
      </w:r>
    </w:p>
    <w:p w:rsidR="003503D6" w:rsidRDefault="003503D6" w:rsidP="003503D6">
      <w:pPr>
        <w:pStyle w:val="Prrafodelista"/>
        <w:numPr>
          <w:ilvl w:val="0"/>
          <w:numId w:val="2"/>
        </w:numPr>
        <w:autoSpaceDE w:val="0"/>
        <w:autoSpaceDN w:val="0"/>
        <w:adjustRightInd w:val="0"/>
        <w:spacing w:after="0" w:line="240" w:lineRule="auto"/>
        <w:rPr>
          <w:rFonts w:ascii="Century-Book" w:hAnsi="Century-Book" w:cs="Century-Book"/>
          <w:sz w:val="20"/>
          <w:szCs w:val="20"/>
        </w:rPr>
      </w:pPr>
      <w:r>
        <w:rPr>
          <w:rFonts w:ascii="Century-Book" w:hAnsi="Century-Book" w:cs="Century-Book"/>
          <w:sz w:val="20"/>
          <w:szCs w:val="20"/>
        </w:rPr>
        <w:t>Profesores y estudiantes de finanzas interesados en el HFT</w:t>
      </w:r>
    </w:p>
    <w:p w:rsidR="003503D6" w:rsidRDefault="003503D6" w:rsidP="003503D6">
      <w:pPr>
        <w:pStyle w:val="Prrafodelista"/>
        <w:numPr>
          <w:ilvl w:val="0"/>
          <w:numId w:val="2"/>
        </w:numPr>
        <w:autoSpaceDE w:val="0"/>
        <w:autoSpaceDN w:val="0"/>
        <w:adjustRightInd w:val="0"/>
        <w:spacing w:after="0" w:line="240" w:lineRule="auto"/>
        <w:rPr>
          <w:rFonts w:ascii="Century-Book" w:hAnsi="Century-Book" w:cs="Century-Book"/>
          <w:sz w:val="20"/>
          <w:szCs w:val="20"/>
        </w:rPr>
      </w:pPr>
      <w:r>
        <w:rPr>
          <w:rFonts w:ascii="Century-Book" w:hAnsi="Century-Book" w:cs="Century-Book"/>
          <w:sz w:val="20"/>
          <w:szCs w:val="20"/>
        </w:rPr>
        <w:t>Inversores individuales que buscan una forma nueva de invertir</w:t>
      </w:r>
    </w:p>
    <w:p w:rsidR="003503D6" w:rsidRDefault="003503D6" w:rsidP="003503D6">
      <w:pPr>
        <w:pStyle w:val="Prrafodelista"/>
        <w:numPr>
          <w:ilvl w:val="0"/>
          <w:numId w:val="2"/>
        </w:numPr>
        <w:autoSpaceDE w:val="0"/>
        <w:autoSpaceDN w:val="0"/>
        <w:adjustRightInd w:val="0"/>
        <w:spacing w:after="0" w:line="240" w:lineRule="auto"/>
        <w:rPr>
          <w:rFonts w:ascii="Century-Book" w:hAnsi="Century-Book" w:cs="Century-Book"/>
          <w:sz w:val="20"/>
          <w:szCs w:val="20"/>
        </w:rPr>
      </w:pPr>
      <w:r>
        <w:rPr>
          <w:rFonts w:ascii="Century-Book" w:hAnsi="Century-Book" w:cs="Century-Book"/>
          <w:sz w:val="20"/>
          <w:szCs w:val="20"/>
        </w:rPr>
        <w:t>Gestores de Riesgos</w:t>
      </w:r>
    </w:p>
    <w:p w:rsidR="003503D6" w:rsidRPr="003503D6" w:rsidRDefault="003503D6" w:rsidP="003503D6">
      <w:pPr>
        <w:pStyle w:val="Prrafodelista"/>
        <w:numPr>
          <w:ilvl w:val="0"/>
          <w:numId w:val="2"/>
        </w:numPr>
        <w:autoSpaceDE w:val="0"/>
        <w:autoSpaceDN w:val="0"/>
        <w:adjustRightInd w:val="0"/>
        <w:spacing w:after="0" w:line="240" w:lineRule="auto"/>
        <w:rPr>
          <w:rFonts w:ascii="Century-Book" w:hAnsi="Century-Book" w:cs="Century-Book"/>
          <w:sz w:val="20"/>
          <w:szCs w:val="20"/>
        </w:rPr>
      </w:pPr>
      <w:r>
        <w:rPr>
          <w:rFonts w:ascii="Century-Book" w:hAnsi="Century-Book" w:cs="Century-Book"/>
          <w:sz w:val="20"/>
          <w:szCs w:val="20"/>
        </w:rPr>
        <w:t>Reguladores gubernamentales</w:t>
      </w:r>
    </w:p>
    <w:p w:rsidR="003503D6" w:rsidRDefault="003503D6" w:rsidP="007F6D73">
      <w:pPr>
        <w:autoSpaceDE w:val="0"/>
        <w:autoSpaceDN w:val="0"/>
        <w:adjustRightInd w:val="0"/>
        <w:spacing w:after="0" w:line="240" w:lineRule="auto"/>
        <w:rPr>
          <w:rFonts w:ascii="LCIRCLE10" w:hAnsi="LCIRCLE10" w:cs="LCIRCLE10"/>
          <w:lang w:val="en-US"/>
        </w:rPr>
      </w:pPr>
    </w:p>
    <w:p w:rsidR="003503D6" w:rsidRPr="00A971DB" w:rsidRDefault="003503D6" w:rsidP="00E31C6C">
      <w:pPr>
        <w:autoSpaceDE w:val="0"/>
        <w:autoSpaceDN w:val="0"/>
        <w:adjustRightInd w:val="0"/>
        <w:spacing w:after="0" w:line="240" w:lineRule="auto"/>
        <w:jc w:val="both"/>
        <w:rPr>
          <w:rFonts w:ascii="Century-Book" w:hAnsi="Century-Book" w:cs="Century-Book"/>
          <w:sz w:val="20"/>
          <w:szCs w:val="20"/>
        </w:rPr>
      </w:pPr>
      <w:r w:rsidRPr="003503D6">
        <w:rPr>
          <w:rFonts w:ascii="Century-Book" w:hAnsi="Century-Book" w:cs="Century-Book"/>
          <w:sz w:val="20"/>
          <w:szCs w:val="20"/>
        </w:rPr>
        <w:t>El libro consta de 5 partes</w:t>
      </w:r>
      <w:r>
        <w:rPr>
          <w:rFonts w:ascii="Century-Book" w:hAnsi="Century-Book" w:cs="Century-Book"/>
          <w:sz w:val="20"/>
          <w:szCs w:val="20"/>
        </w:rPr>
        <w:t>. La primera describe la historia y el entorno económico de los sistemas HFT. La segunda revisa los fundamen</w:t>
      </w:r>
      <w:r w:rsidR="00C74649">
        <w:rPr>
          <w:rFonts w:ascii="Century-Book" w:hAnsi="Century-Book" w:cs="Century-Book"/>
          <w:sz w:val="20"/>
          <w:szCs w:val="20"/>
        </w:rPr>
        <w:t>tos estadísticos y economét</w:t>
      </w:r>
      <w:r>
        <w:rPr>
          <w:rFonts w:ascii="Century-Book" w:hAnsi="Century-Book" w:cs="Century-Book"/>
          <w:sz w:val="20"/>
          <w:szCs w:val="20"/>
        </w:rPr>
        <w:t>ricos</w:t>
      </w:r>
      <w:r w:rsidR="00C74649">
        <w:rPr>
          <w:rFonts w:ascii="Century-Book" w:hAnsi="Century-Book" w:cs="Century-Book"/>
          <w:sz w:val="20"/>
          <w:szCs w:val="20"/>
        </w:rPr>
        <w:t xml:space="preserve"> de los tipos más comunes de sistemas</w:t>
      </w:r>
      <w:r w:rsidR="00E31C6C">
        <w:rPr>
          <w:rFonts w:ascii="Century-Book" w:hAnsi="Century-Book" w:cs="Century-Book"/>
          <w:sz w:val="20"/>
          <w:szCs w:val="20"/>
        </w:rPr>
        <w:t xml:space="preserve"> </w:t>
      </w:r>
      <w:r w:rsidR="00C74649">
        <w:rPr>
          <w:rFonts w:ascii="Century-Book" w:hAnsi="Century-Book" w:cs="Century-Book"/>
          <w:sz w:val="20"/>
          <w:szCs w:val="20"/>
        </w:rPr>
        <w:t xml:space="preserve">HFT. </w:t>
      </w:r>
      <w:r w:rsidR="00291669">
        <w:rPr>
          <w:rFonts w:ascii="Century-Book" w:hAnsi="Century-Book" w:cs="Century-Book"/>
          <w:sz w:val="20"/>
          <w:szCs w:val="20"/>
        </w:rPr>
        <w:t xml:space="preserve">La </w:t>
      </w:r>
      <w:r w:rsidR="00C74649">
        <w:rPr>
          <w:rFonts w:ascii="Century-Book" w:hAnsi="Century-Book" w:cs="Century-Book"/>
          <w:sz w:val="20"/>
          <w:szCs w:val="20"/>
        </w:rPr>
        <w:t>tercer</w:t>
      </w:r>
      <w:r w:rsidR="00291669">
        <w:rPr>
          <w:rFonts w:ascii="Century-Book" w:hAnsi="Century-Book" w:cs="Century-Book"/>
          <w:sz w:val="20"/>
          <w:szCs w:val="20"/>
        </w:rPr>
        <w:t>a</w:t>
      </w:r>
      <w:r w:rsidR="00C74649">
        <w:rPr>
          <w:rFonts w:ascii="Century-Book" w:hAnsi="Century-Book" w:cs="Century-Book"/>
          <w:sz w:val="20"/>
          <w:szCs w:val="20"/>
        </w:rPr>
        <w:t xml:space="preserve"> </w:t>
      </w:r>
      <w:r w:rsidR="00291669">
        <w:rPr>
          <w:rFonts w:ascii="Century-Book" w:hAnsi="Century-Book" w:cs="Century-Book"/>
          <w:sz w:val="20"/>
          <w:szCs w:val="20"/>
        </w:rPr>
        <w:t>aborda los d</w:t>
      </w:r>
      <w:r w:rsidR="00A971DB">
        <w:rPr>
          <w:rFonts w:ascii="Century-Book" w:hAnsi="Century-Book" w:cs="Century-Book"/>
          <w:sz w:val="20"/>
          <w:szCs w:val="20"/>
        </w:rPr>
        <w:t>etalles del modelado de estrategias</w:t>
      </w:r>
      <w:r w:rsidR="00291669">
        <w:rPr>
          <w:rFonts w:ascii="Century-Book" w:hAnsi="Century-Book" w:cs="Century-Book"/>
          <w:sz w:val="20"/>
          <w:szCs w:val="20"/>
        </w:rPr>
        <w:t xml:space="preserve"> HFT.</w:t>
      </w:r>
      <w:r w:rsidR="00C74649">
        <w:rPr>
          <w:rFonts w:ascii="Century-Book" w:hAnsi="Century-Book" w:cs="Century-Book"/>
          <w:sz w:val="20"/>
          <w:szCs w:val="20"/>
        </w:rPr>
        <w:t xml:space="preserve"> </w:t>
      </w:r>
      <w:r w:rsidR="00A971DB">
        <w:rPr>
          <w:rFonts w:ascii="Century-Book" w:hAnsi="Century-Book" w:cs="Century-Book"/>
          <w:sz w:val="20"/>
          <w:szCs w:val="20"/>
        </w:rPr>
        <w:t xml:space="preserve"> La cuarta describe los pasos que se requieren para construir un sistema HFT de calidad. La quinta y última aborda los aspectos relacionados con la ejecución, monitorización y el </w:t>
      </w:r>
      <w:r w:rsidR="00A971DB" w:rsidRPr="00A971DB">
        <w:rPr>
          <w:rFonts w:ascii="Century-Book" w:hAnsi="Century-Book" w:cs="Century-Book"/>
          <w:sz w:val="20"/>
          <w:szCs w:val="20"/>
        </w:rPr>
        <w:t>benchmarking</w:t>
      </w:r>
      <w:r w:rsidR="00A971DB">
        <w:rPr>
          <w:rFonts w:ascii="Century-Book" w:hAnsi="Century-Book" w:cs="Century-Book"/>
          <w:sz w:val="20"/>
          <w:szCs w:val="20"/>
        </w:rPr>
        <w:t xml:space="preserve"> de los sistemas HFT</w:t>
      </w:r>
    </w:p>
    <w:p w:rsidR="003503D6" w:rsidRDefault="003503D6" w:rsidP="001847F5">
      <w:pPr>
        <w:autoSpaceDE w:val="0"/>
        <w:autoSpaceDN w:val="0"/>
        <w:adjustRightInd w:val="0"/>
        <w:spacing w:after="0" w:line="240" w:lineRule="auto"/>
        <w:jc w:val="both"/>
        <w:rPr>
          <w:rFonts w:ascii="Century-Book" w:hAnsi="Century-Book" w:cs="Century-Book"/>
          <w:sz w:val="20"/>
          <w:szCs w:val="20"/>
        </w:rPr>
      </w:pPr>
    </w:p>
    <w:p w:rsidR="00A971DB" w:rsidRPr="007B1617" w:rsidRDefault="00A971DB" w:rsidP="001847F5">
      <w:pPr>
        <w:autoSpaceDE w:val="0"/>
        <w:autoSpaceDN w:val="0"/>
        <w:adjustRightInd w:val="0"/>
        <w:spacing w:after="0" w:line="240" w:lineRule="auto"/>
        <w:jc w:val="both"/>
        <w:rPr>
          <w:rFonts w:ascii="Century-Book" w:hAnsi="Century-Book" w:cs="Century-Book"/>
          <w:sz w:val="20"/>
          <w:szCs w:val="20"/>
        </w:rPr>
      </w:pPr>
      <w:r>
        <w:rPr>
          <w:rFonts w:ascii="Century-Book" w:hAnsi="Century-Book" w:cs="Century-Book"/>
          <w:sz w:val="20"/>
          <w:szCs w:val="20"/>
        </w:rPr>
        <w:t>Este libro incluye numerosas estrategias de trading cuantitativo</w:t>
      </w:r>
      <w:r w:rsidR="001847F5">
        <w:rPr>
          <w:rFonts w:ascii="Century-Book" w:hAnsi="Century-Book" w:cs="Century-Book"/>
          <w:sz w:val="20"/>
          <w:szCs w:val="20"/>
        </w:rPr>
        <w:t xml:space="preserve"> con referencias a los estudios que documentaron las ideas. Las estrategias de trading discutidas ilustran consideraciones prácticas subyacentes al HFT.  El capítulo 10 considera estrategias HFT con mantenimiento de la posición de un minuto o menos.  El Capítulo 11 bucea en un tipo de estrategias HFT conocido como modelo de micro-estructura de mercado con periodos de mantenimiento de la posición que raramente exceden los 10 minutos. El Capítulo 12 detalla estrategias que capturan rendimientos excepcionales relacionados con eventos como la publicación de noticias económicas.  Estas estrategias también conocidas como arbitraje de eventos funcionan mejor con posiciones que se mantienen entre 30 minutos y una hora</w:t>
      </w:r>
      <w:r w:rsidR="007B1617">
        <w:rPr>
          <w:rFonts w:ascii="Century-Book" w:hAnsi="Century-Book" w:cs="Century-Book"/>
          <w:sz w:val="20"/>
          <w:szCs w:val="20"/>
        </w:rPr>
        <w:t xml:space="preserve">. El Capítulo 13 aborda toda la gama de estrategias conocidas colectivamente como arbitraje estadístico con posiciones que se mantienen hasta un día de mercado entero. El Capítulo 14 los últimos desarrollos científicos en la creación de carteras </w:t>
      </w:r>
      <w:proofErr w:type="spellStart"/>
      <w:r w:rsidR="007B1617">
        <w:rPr>
          <w:rFonts w:ascii="Century-Book" w:hAnsi="Century-Book" w:cs="Century-Book"/>
          <w:sz w:val="20"/>
          <w:szCs w:val="20"/>
        </w:rPr>
        <w:t>multi</w:t>
      </w:r>
      <w:proofErr w:type="spellEnd"/>
      <w:r w:rsidR="007B1617">
        <w:rPr>
          <w:rFonts w:ascii="Century-Book" w:hAnsi="Century-Book" w:cs="Century-Book"/>
          <w:sz w:val="20"/>
          <w:szCs w:val="20"/>
        </w:rPr>
        <w:t xml:space="preserve">-estrategia.  Se trata de estrategias basadas en investigaciones académicas publicadas y pueden ser implementadas directamente por </w:t>
      </w:r>
      <w:proofErr w:type="spellStart"/>
      <w:r w:rsidR="007B1617">
        <w:rPr>
          <w:rFonts w:ascii="Century-Book" w:hAnsi="Century-Book" w:cs="Century-Book"/>
          <w:sz w:val="20"/>
          <w:szCs w:val="20"/>
        </w:rPr>
        <w:t>traders</w:t>
      </w:r>
      <w:proofErr w:type="spellEnd"/>
      <w:r w:rsidR="007B1617">
        <w:rPr>
          <w:rFonts w:ascii="Century-Book" w:hAnsi="Century-Book" w:cs="Century-Book"/>
          <w:sz w:val="20"/>
          <w:szCs w:val="20"/>
        </w:rPr>
        <w:t xml:space="preserve"> profesionales. De todas formas hay que tener en cuenta que las estrategias publicadas se quedan obsoletas en poco tiempo ya que mucha gente pasa a usarlas con lo que con el paso del tiempo se acaba eliminando su margen. En otras palabras, las mejores estrategias son aquellas que se plantean, desarrollas y guardan en estricto secreto</w:t>
      </w:r>
    </w:p>
    <w:p w:rsidR="001847F5" w:rsidRPr="001847F5" w:rsidRDefault="001847F5" w:rsidP="007F6D73">
      <w:pPr>
        <w:autoSpaceDE w:val="0"/>
        <w:autoSpaceDN w:val="0"/>
        <w:adjustRightInd w:val="0"/>
        <w:spacing w:after="0" w:line="240" w:lineRule="auto"/>
        <w:rPr>
          <w:rFonts w:ascii="Century-Book" w:hAnsi="Century-Book" w:cs="Century-Book"/>
          <w:sz w:val="20"/>
          <w:szCs w:val="20"/>
        </w:rPr>
      </w:pPr>
    </w:p>
    <w:p w:rsidR="007B1617" w:rsidRDefault="007B1617" w:rsidP="00E31C6C">
      <w:pPr>
        <w:autoSpaceDE w:val="0"/>
        <w:autoSpaceDN w:val="0"/>
        <w:adjustRightInd w:val="0"/>
        <w:spacing w:after="0" w:line="240" w:lineRule="auto"/>
        <w:jc w:val="both"/>
        <w:rPr>
          <w:rFonts w:ascii="Century-Book" w:hAnsi="Century-Book" w:cs="Century-Book"/>
          <w:sz w:val="20"/>
          <w:szCs w:val="20"/>
        </w:rPr>
      </w:pPr>
      <w:r w:rsidRPr="007B1617">
        <w:rPr>
          <w:rFonts w:ascii="Century-Book" w:hAnsi="Century-Book" w:cs="Century-Book"/>
          <w:sz w:val="20"/>
          <w:szCs w:val="20"/>
        </w:rPr>
        <w:lastRenderedPageBreak/>
        <w:t xml:space="preserve">El propósito de este libro es ilustrar </w:t>
      </w:r>
      <w:r w:rsidR="00E31C6C">
        <w:rPr>
          <w:rFonts w:ascii="Century-Book" w:hAnsi="Century-Book" w:cs="Century-Book"/>
          <w:sz w:val="20"/>
          <w:szCs w:val="20"/>
        </w:rPr>
        <w:t>como investigaciones académicas bien conocidas pueden ser aplicadas para capturar ineficiencias del mercado con el propósito de estimular a sus lectores al desarrollo de sus propias innovaciones y a la implementación de estrategias de trading rentables</w:t>
      </w:r>
    </w:p>
    <w:p w:rsidR="00E31C6C" w:rsidRDefault="00E31C6C" w:rsidP="00E31C6C">
      <w:pPr>
        <w:autoSpaceDE w:val="0"/>
        <w:autoSpaceDN w:val="0"/>
        <w:adjustRightInd w:val="0"/>
        <w:spacing w:after="0" w:line="240" w:lineRule="auto"/>
        <w:jc w:val="both"/>
        <w:rPr>
          <w:rFonts w:ascii="Century-Book" w:hAnsi="Century-Book" w:cs="Century-Book"/>
          <w:sz w:val="20"/>
          <w:szCs w:val="20"/>
        </w:rPr>
      </w:pPr>
    </w:p>
    <w:p w:rsidR="00E31C6C" w:rsidRPr="007B1617" w:rsidRDefault="00E31C6C" w:rsidP="00E31C6C">
      <w:pPr>
        <w:autoSpaceDE w:val="0"/>
        <w:autoSpaceDN w:val="0"/>
        <w:adjustRightInd w:val="0"/>
        <w:spacing w:after="0" w:line="240" w:lineRule="auto"/>
        <w:jc w:val="both"/>
        <w:rPr>
          <w:rFonts w:ascii="Century-Book" w:hAnsi="Century-Book" w:cs="Century-Book"/>
          <w:sz w:val="20"/>
          <w:szCs w:val="20"/>
        </w:rPr>
      </w:pPr>
    </w:p>
    <w:p w:rsidR="00405AD7" w:rsidRDefault="00405AD7" w:rsidP="007F6D73">
      <w:pPr>
        <w:rPr>
          <w:rFonts w:ascii="Century-Book" w:hAnsi="Century-Book" w:cs="Century-Book"/>
          <w:sz w:val="20"/>
          <w:szCs w:val="20"/>
          <w:lang w:val="en-US"/>
        </w:rPr>
      </w:pPr>
    </w:p>
    <w:sectPr w:rsidR="00405AD7" w:rsidSect="00A26960">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entury-Book">
    <w:panose1 w:val="00000000000000000000"/>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Fenice-Regular">
    <w:panose1 w:val="00000000000000000000"/>
    <w:charset w:val="00"/>
    <w:family w:val="roman"/>
    <w:notTrueType/>
    <w:pitch w:val="default"/>
    <w:sig w:usb0="00000003" w:usb1="00000000" w:usb2="00000000" w:usb3="00000000" w:csb0="00000001" w:csb1="00000000"/>
  </w:font>
  <w:font w:name="LCIRCLE10">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1B2EAF"/>
    <w:multiLevelType w:val="hybridMultilevel"/>
    <w:tmpl w:val="28E4012A"/>
    <w:lvl w:ilvl="0" w:tplc="46DAA0D2">
      <w:start w:val="1"/>
      <w:numFmt w:val="bullet"/>
      <w:lvlText w:val=""/>
      <w:lvlJc w:val="left"/>
      <w:pPr>
        <w:ind w:left="720" w:hanging="360"/>
      </w:pPr>
      <w:rPr>
        <w:rFonts w:ascii="Symbol" w:eastAsiaTheme="minorHAnsi" w:hAnsi="Symbol" w:cs="Century-Book"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nsid w:val="42D114E2"/>
    <w:multiLevelType w:val="hybridMultilevel"/>
    <w:tmpl w:val="8EC0D586"/>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hyphenationZone w:val="425"/>
  <w:characterSpacingControl w:val="doNotCompress"/>
  <w:compat/>
  <w:rsids>
    <w:rsidRoot w:val="007F6D73"/>
    <w:rsid w:val="001847F5"/>
    <w:rsid w:val="00195A83"/>
    <w:rsid w:val="002113E2"/>
    <w:rsid w:val="00291669"/>
    <w:rsid w:val="002F7903"/>
    <w:rsid w:val="003235B2"/>
    <w:rsid w:val="003503D6"/>
    <w:rsid w:val="003C27AD"/>
    <w:rsid w:val="003E1EBF"/>
    <w:rsid w:val="00405AD7"/>
    <w:rsid w:val="004E1A5A"/>
    <w:rsid w:val="00555B98"/>
    <w:rsid w:val="00586087"/>
    <w:rsid w:val="00602626"/>
    <w:rsid w:val="006831B7"/>
    <w:rsid w:val="00692930"/>
    <w:rsid w:val="006C3200"/>
    <w:rsid w:val="006D6D8F"/>
    <w:rsid w:val="006F50CC"/>
    <w:rsid w:val="007B1617"/>
    <w:rsid w:val="007C5AD6"/>
    <w:rsid w:val="007F6D73"/>
    <w:rsid w:val="0080619B"/>
    <w:rsid w:val="0084428D"/>
    <w:rsid w:val="008E7002"/>
    <w:rsid w:val="00915F97"/>
    <w:rsid w:val="00925A8B"/>
    <w:rsid w:val="00A26960"/>
    <w:rsid w:val="00A776AA"/>
    <w:rsid w:val="00A971DB"/>
    <w:rsid w:val="00AE2F07"/>
    <w:rsid w:val="00BB1B82"/>
    <w:rsid w:val="00BE5010"/>
    <w:rsid w:val="00C74649"/>
    <w:rsid w:val="00D31481"/>
    <w:rsid w:val="00D31CE3"/>
    <w:rsid w:val="00D64EDD"/>
    <w:rsid w:val="00D901F8"/>
    <w:rsid w:val="00DC75D3"/>
    <w:rsid w:val="00E31C6C"/>
    <w:rsid w:val="00E71FBE"/>
    <w:rsid w:val="00E77F93"/>
    <w:rsid w:val="00F26F5F"/>
    <w:rsid w:val="00F44800"/>
    <w:rsid w:val="00F72B74"/>
  </w:rsids>
  <m:mathPr>
    <m:mathFont m:val="Cambria Math"/>
    <m:brkBin m:val="before"/>
    <m:brkBinSub m:val="--"/>
    <m:smallFrac m:val="off"/>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_trad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6960"/>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F7903"/>
    <w:pPr>
      <w:ind w:left="720"/>
      <w:contextualSpacing/>
    </w:pPr>
  </w:style>
  <w:style w:type="character" w:styleId="Hipervnculo">
    <w:name w:val="Hyperlink"/>
    <w:basedOn w:val="Fuentedeprrafopredeter"/>
    <w:uiPriority w:val="99"/>
    <w:unhideWhenUsed/>
    <w:rsid w:val="00405AD7"/>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910771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721</TotalTime>
  <Pages>1</Pages>
  <Words>1853</Words>
  <Characters>10195</Characters>
  <Application>Microsoft Office Word</Application>
  <DocSecurity>0</DocSecurity>
  <Lines>84</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YYY</dc:creator>
  <cp:lastModifiedBy>YYY</cp:lastModifiedBy>
  <cp:revision>16</cp:revision>
  <dcterms:created xsi:type="dcterms:W3CDTF">2012-02-11T09:46:00Z</dcterms:created>
  <dcterms:modified xsi:type="dcterms:W3CDTF">2012-02-12T11:51:00Z</dcterms:modified>
</cp:coreProperties>
</file>