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xlsx" ContentType="application/vnd.openxmlformats-officedocument.spreadsheetml.sheet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79B2" w:rsidRDefault="000A64BD">
      <w:r w:rsidRPr="000A64BD">
        <w:rPr>
          <w:noProof/>
        </w:rPr>
        <w:drawing>
          <wp:inline distT="0" distB="0" distL="0" distR="0">
            <wp:extent cx="5400040" cy="4803666"/>
            <wp:effectExtent l="19050" t="0" r="10160" b="0"/>
            <wp:docPr id="4" name="Gráfico 1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4"/>
              </a:graphicData>
            </a:graphic>
          </wp:inline>
        </w:drawing>
      </w:r>
    </w:p>
    <w:p w:rsidR="000A64BD" w:rsidRDefault="000A64BD"/>
    <w:p w:rsidR="000A64BD" w:rsidRDefault="000A64BD"/>
    <w:p w:rsidR="004839F4" w:rsidRDefault="004839F4"/>
    <w:p w:rsidR="004839F4" w:rsidRDefault="004839F4">
      <w:r w:rsidRPr="004839F4">
        <w:rPr>
          <w:noProof/>
        </w:rPr>
        <w:lastRenderedPageBreak/>
        <w:drawing>
          <wp:inline distT="0" distB="0" distL="0" distR="0">
            <wp:extent cx="5400040" cy="4803666"/>
            <wp:effectExtent l="19050" t="0" r="10160" b="0"/>
            <wp:docPr id="10" name="Gráfico 1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5"/>
              </a:graphicData>
            </a:graphic>
          </wp:inline>
        </w:drawing>
      </w:r>
    </w:p>
    <w:p w:rsidR="004839F4" w:rsidRDefault="004839F4"/>
    <w:p w:rsidR="004839F4" w:rsidRDefault="004839F4"/>
    <w:p w:rsidR="000A64BD" w:rsidRDefault="002B10BE">
      <w:r w:rsidRPr="002B10BE">
        <w:rPr>
          <w:noProof/>
        </w:rPr>
        <w:drawing>
          <wp:inline distT="0" distB="0" distL="0" distR="0">
            <wp:extent cx="5400040" cy="3150023"/>
            <wp:effectExtent l="0" t="0" r="0" b="0"/>
            <wp:docPr id="2" name="Gráfico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6"/>
              </a:graphicData>
            </a:graphic>
          </wp:inline>
        </w:drawing>
      </w:r>
    </w:p>
    <w:sectPr w:rsidR="000A64BD" w:rsidSect="00A879B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characterSpacingControl w:val="doNotCompress"/>
  <w:compat>
    <w:useFELayout/>
  </w:compat>
  <w:rsids>
    <w:rsidRoot w:val="000A64BD"/>
    <w:rsid w:val="000A64BD"/>
    <w:rsid w:val="00144E1D"/>
    <w:rsid w:val="00262C07"/>
    <w:rsid w:val="002B10BE"/>
    <w:rsid w:val="004839F4"/>
    <w:rsid w:val="005A78BE"/>
    <w:rsid w:val="00715D33"/>
    <w:rsid w:val="00774F2D"/>
    <w:rsid w:val="00A879B2"/>
    <w:rsid w:val="00B363C2"/>
    <w:rsid w:val="00BA75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879B2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0A64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A64B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hart" Target="charts/chart3.xml"/><Relationship Id="rId5" Type="http://schemas.openxmlformats.org/officeDocument/2006/relationships/chart" Target="charts/chart2.xml"/><Relationship Id="rId4" Type="http://schemas.openxmlformats.org/officeDocument/2006/relationships/chart" Target="charts/chart1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Hoja_de_c_lculo_de_Microsoft_Office_Excel1.xlsx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Hoja_de_c_lculo_de_Microsoft_Office_Excel2.xlsx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Hoja_de_c_lculo_de_Microsoft_Office_Excel3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es-ES"/>
  <c:chart>
    <c:title>
      <c:tx>
        <c:rich>
          <a:bodyPr/>
          <a:lstStyle/>
          <a:p>
            <a:pPr>
              <a:defRPr/>
            </a:pPr>
            <a:r>
              <a:rPr lang="es-ES"/>
              <a:t>Rentabilidad Bestinfond/MSM</a:t>
            </a:r>
          </a:p>
        </c:rich>
      </c:tx>
    </c:title>
    <c:plotArea>
      <c:layout>
        <c:manualLayout>
          <c:layoutTarget val="inner"/>
          <c:xMode val="edge"/>
          <c:yMode val="edge"/>
          <c:x val="0.14659187709720706"/>
          <c:y val="0.11124524477763481"/>
          <c:w val="0.83694528188680084"/>
          <c:h val="0.79573101044077865"/>
        </c:manualLayout>
      </c:layout>
      <c:lineChart>
        <c:grouping val="standard"/>
        <c:ser>
          <c:idx val="0"/>
          <c:order val="0"/>
          <c:tx>
            <c:strRef>
              <c:f>Hoja1!$B$1</c:f>
              <c:strCache>
                <c:ptCount val="1"/>
                <c:pt idx="0">
                  <c:v>Bestinfond</c:v>
                </c:pt>
              </c:strCache>
            </c:strRef>
          </c:tx>
          <c:marker>
            <c:symbol val="none"/>
          </c:marker>
          <c:cat>
            <c:numRef>
              <c:f>Hoja1!$A$2:$A$12</c:f>
              <c:numCache>
                <c:formatCode>General</c:formatCode>
                <c:ptCount val="11"/>
                <c:pt idx="0">
                  <c:v>2003</c:v>
                </c:pt>
                <c:pt idx="1">
                  <c:v>2004</c:v>
                </c:pt>
                <c:pt idx="2">
                  <c:v>2005</c:v>
                </c:pt>
                <c:pt idx="3">
                  <c:v>2006</c:v>
                </c:pt>
                <c:pt idx="4">
                  <c:v>2007</c:v>
                </c:pt>
                <c:pt idx="5">
                  <c:v>2008</c:v>
                </c:pt>
                <c:pt idx="6">
                  <c:v>2009</c:v>
                </c:pt>
                <c:pt idx="7">
                  <c:v>2010</c:v>
                </c:pt>
                <c:pt idx="8">
                  <c:v>2011</c:v>
                </c:pt>
                <c:pt idx="9">
                  <c:v>2012</c:v>
                </c:pt>
                <c:pt idx="10">
                  <c:v>2013</c:v>
                </c:pt>
              </c:numCache>
            </c:numRef>
          </c:cat>
          <c:val>
            <c:numRef>
              <c:f>Hoja1!$B$2:$B$12</c:f>
              <c:numCache>
                <c:formatCode>0.00%</c:formatCode>
                <c:ptCount val="11"/>
                <c:pt idx="0">
                  <c:v>0</c:v>
                </c:pt>
                <c:pt idx="1">
                  <c:v>0.29890000000000089</c:v>
                </c:pt>
                <c:pt idx="2">
                  <c:v>0.28530000000000089</c:v>
                </c:pt>
                <c:pt idx="3">
                  <c:v>0.26700000000000002</c:v>
                </c:pt>
                <c:pt idx="4">
                  <c:v>-2.2300000000000011E-2</c:v>
                </c:pt>
                <c:pt idx="5">
                  <c:v>-0.42140000000000088</c:v>
                </c:pt>
                <c:pt idx="6">
                  <c:v>0.60200000000000065</c:v>
                </c:pt>
                <c:pt idx="7">
                  <c:v>0.19220000000000001</c:v>
                </c:pt>
                <c:pt idx="8">
                  <c:v>-0.1033</c:v>
                </c:pt>
                <c:pt idx="9">
                  <c:v>0.16520000000000001</c:v>
                </c:pt>
                <c:pt idx="10">
                  <c:v>0.30000000000000032</c:v>
                </c:pt>
              </c:numCache>
            </c:numRef>
          </c:val>
        </c:ser>
        <c:ser>
          <c:idx val="1"/>
          <c:order val="1"/>
          <c:tx>
            <c:strRef>
              <c:f>Hoja1!$C$1</c:f>
              <c:strCache>
                <c:ptCount val="1"/>
                <c:pt idx="0">
                  <c:v>MSM</c:v>
                </c:pt>
              </c:strCache>
            </c:strRef>
          </c:tx>
          <c:marker>
            <c:symbol val="none"/>
          </c:marker>
          <c:cat>
            <c:numRef>
              <c:f>Hoja1!$A$2:$A$12</c:f>
              <c:numCache>
                <c:formatCode>General</c:formatCode>
                <c:ptCount val="11"/>
                <c:pt idx="0">
                  <c:v>2003</c:v>
                </c:pt>
                <c:pt idx="1">
                  <c:v>2004</c:v>
                </c:pt>
                <c:pt idx="2">
                  <c:v>2005</c:v>
                </c:pt>
                <c:pt idx="3">
                  <c:v>2006</c:v>
                </c:pt>
                <c:pt idx="4">
                  <c:v>2007</c:v>
                </c:pt>
                <c:pt idx="5">
                  <c:v>2008</c:v>
                </c:pt>
                <c:pt idx="6">
                  <c:v>2009</c:v>
                </c:pt>
                <c:pt idx="7">
                  <c:v>2010</c:v>
                </c:pt>
                <c:pt idx="8">
                  <c:v>2011</c:v>
                </c:pt>
                <c:pt idx="9">
                  <c:v>2012</c:v>
                </c:pt>
                <c:pt idx="10">
                  <c:v>2013</c:v>
                </c:pt>
              </c:numCache>
            </c:numRef>
          </c:cat>
          <c:val>
            <c:numRef>
              <c:f>Hoja1!$C$2:$C$12</c:f>
              <c:numCache>
                <c:formatCode>0.00%</c:formatCode>
                <c:ptCount val="11"/>
                <c:pt idx="0" formatCode="General">
                  <c:v>0</c:v>
                </c:pt>
                <c:pt idx="1">
                  <c:v>8.910000000000004E-2</c:v>
                </c:pt>
                <c:pt idx="2">
                  <c:v>0.20240000000000041</c:v>
                </c:pt>
                <c:pt idx="3">
                  <c:v>0.9839</c:v>
                </c:pt>
                <c:pt idx="4">
                  <c:v>0.38650000000000101</c:v>
                </c:pt>
                <c:pt idx="5">
                  <c:v>-0.63890000000000224</c:v>
                </c:pt>
                <c:pt idx="6">
                  <c:v>-0.21910000000000004</c:v>
                </c:pt>
                <c:pt idx="7">
                  <c:v>7.1700000000000014E-2</c:v>
                </c:pt>
                <c:pt idx="8">
                  <c:v>1.415399999999994</c:v>
                </c:pt>
                <c:pt idx="9">
                  <c:v>0.17269999999999999</c:v>
                </c:pt>
                <c:pt idx="10">
                  <c:v>-0.1</c:v>
                </c:pt>
              </c:numCache>
            </c:numRef>
          </c:val>
        </c:ser>
        <c:marker val="1"/>
        <c:axId val="100401536"/>
        <c:axId val="100403072"/>
      </c:lineChart>
      <c:catAx>
        <c:axId val="100401536"/>
        <c:scaling>
          <c:orientation val="minMax"/>
        </c:scaling>
        <c:axPos val="b"/>
        <c:numFmt formatCode="General" sourceLinked="1"/>
        <c:majorTickMark val="none"/>
        <c:tickLblPos val="nextTo"/>
        <c:crossAx val="100403072"/>
        <c:crosses val="autoZero"/>
        <c:auto val="1"/>
        <c:lblAlgn val="ctr"/>
        <c:lblOffset val="100"/>
      </c:catAx>
      <c:valAx>
        <c:axId val="100403072"/>
        <c:scaling>
          <c:orientation val="minMax"/>
        </c:scaling>
        <c:axPos val="l"/>
        <c:majorGridlines/>
        <c:numFmt formatCode="0.00%" sourceLinked="1"/>
        <c:majorTickMark val="none"/>
        <c:tickLblPos val="nextTo"/>
        <c:spPr>
          <a:ln w="9525">
            <a:noFill/>
          </a:ln>
        </c:spPr>
        <c:crossAx val="100401536"/>
        <c:crosses val="autoZero"/>
        <c:crossBetween val="between"/>
      </c:valAx>
      <c:spPr>
        <a:noFill/>
        <a:ln w="25400">
          <a:noFill/>
        </a:ln>
      </c:spPr>
    </c:plotArea>
    <c:legend>
      <c:legendPos val="b"/>
    </c:legend>
    <c:plotVisOnly val="1"/>
  </c:chart>
  <c:externalData r:id="rId1"/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es-ES"/>
  <c:chart>
    <c:title>
      <c:tx>
        <c:rich>
          <a:bodyPr/>
          <a:lstStyle/>
          <a:p>
            <a:pPr>
              <a:defRPr/>
            </a:pPr>
            <a:r>
              <a:rPr lang="es-ES"/>
              <a:t>Rentabilidad anual</a:t>
            </a:r>
          </a:p>
          <a:p>
            <a:pPr>
              <a:defRPr/>
            </a:pPr>
            <a:r>
              <a:rPr lang="es-ES"/>
              <a:t>(Ibex 35/MSM)</a:t>
            </a:r>
          </a:p>
        </c:rich>
      </c:tx>
    </c:title>
    <c:plotArea>
      <c:layout>
        <c:manualLayout>
          <c:layoutTarget val="inner"/>
          <c:xMode val="edge"/>
          <c:yMode val="edge"/>
          <c:x val="0.14659187709720728"/>
          <c:y val="0.16940915542421159"/>
          <c:w val="0.82753794416337667"/>
          <c:h val="0.73756709979419877"/>
        </c:manualLayout>
      </c:layout>
      <c:lineChart>
        <c:grouping val="standard"/>
        <c:ser>
          <c:idx val="2"/>
          <c:order val="2"/>
          <c:tx>
            <c:strRef>
              <c:f>Hoja1!$B$1</c:f>
              <c:strCache>
                <c:ptCount val="1"/>
                <c:pt idx="0">
                  <c:v>Ibex 35</c:v>
                </c:pt>
              </c:strCache>
            </c:strRef>
          </c:tx>
          <c:marker>
            <c:symbol val="none"/>
          </c:marker>
          <c:cat>
            <c:numRef>
              <c:f>Hoja1!$A$2:$A$12</c:f>
              <c:numCache>
                <c:formatCode>General</c:formatCode>
                <c:ptCount val="11"/>
                <c:pt idx="0">
                  <c:v>2003</c:v>
                </c:pt>
                <c:pt idx="1">
                  <c:v>2004</c:v>
                </c:pt>
                <c:pt idx="2">
                  <c:v>2005</c:v>
                </c:pt>
                <c:pt idx="3">
                  <c:v>2006</c:v>
                </c:pt>
                <c:pt idx="4">
                  <c:v>2007</c:v>
                </c:pt>
                <c:pt idx="5">
                  <c:v>2008</c:v>
                </c:pt>
                <c:pt idx="6">
                  <c:v>2009</c:v>
                </c:pt>
                <c:pt idx="7">
                  <c:v>2010</c:v>
                </c:pt>
                <c:pt idx="8">
                  <c:v>2011</c:v>
                </c:pt>
                <c:pt idx="9">
                  <c:v>2012</c:v>
                </c:pt>
                <c:pt idx="10">
                  <c:v>2013</c:v>
                </c:pt>
              </c:numCache>
            </c:numRef>
          </c:cat>
          <c:val>
            <c:numRef>
              <c:f>Hoja1!$B$2:$B$12</c:f>
              <c:numCache>
                <c:formatCode>0.00%</c:formatCode>
                <c:ptCount val="11"/>
                <c:pt idx="0">
                  <c:v>0</c:v>
                </c:pt>
                <c:pt idx="1">
                  <c:v>0.17369999999999999</c:v>
                </c:pt>
                <c:pt idx="2">
                  <c:v>0.18200000000000019</c:v>
                </c:pt>
                <c:pt idx="3">
                  <c:v>0.31790000000000052</c:v>
                </c:pt>
                <c:pt idx="4">
                  <c:v>7.3200000000000001E-2</c:v>
                </c:pt>
                <c:pt idx="5">
                  <c:v>-0.39430000000000065</c:v>
                </c:pt>
                <c:pt idx="6">
                  <c:v>0.29840000000000039</c:v>
                </c:pt>
                <c:pt idx="7">
                  <c:v>-0.17430000000000001</c:v>
                </c:pt>
                <c:pt idx="8">
                  <c:v>-0.13109999999999999</c:v>
                </c:pt>
                <c:pt idx="9">
                  <c:v>-4.6599999999999996E-2</c:v>
                </c:pt>
                <c:pt idx="10">
                  <c:v>0.21500000000000019</c:v>
                </c:pt>
              </c:numCache>
            </c:numRef>
          </c:val>
        </c:ser>
        <c:ser>
          <c:idx val="3"/>
          <c:order val="3"/>
          <c:tx>
            <c:strRef>
              <c:f>Hoja1!$C$1</c:f>
              <c:strCache>
                <c:ptCount val="1"/>
                <c:pt idx="0">
                  <c:v>MSM</c:v>
                </c:pt>
              </c:strCache>
            </c:strRef>
          </c:tx>
          <c:marker>
            <c:symbol val="none"/>
          </c:marker>
          <c:cat>
            <c:numRef>
              <c:f>Hoja1!$A$2:$A$12</c:f>
              <c:numCache>
                <c:formatCode>General</c:formatCode>
                <c:ptCount val="11"/>
                <c:pt idx="0">
                  <c:v>2003</c:v>
                </c:pt>
                <c:pt idx="1">
                  <c:v>2004</c:v>
                </c:pt>
                <c:pt idx="2">
                  <c:v>2005</c:v>
                </c:pt>
                <c:pt idx="3">
                  <c:v>2006</c:v>
                </c:pt>
                <c:pt idx="4">
                  <c:v>2007</c:v>
                </c:pt>
                <c:pt idx="5">
                  <c:v>2008</c:v>
                </c:pt>
                <c:pt idx="6">
                  <c:v>2009</c:v>
                </c:pt>
                <c:pt idx="7">
                  <c:v>2010</c:v>
                </c:pt>
                <c:pt idx="8">
                  <c:v>2011</c:v>
                </c:pt>
                <c:pt idx="9">
                  <c:v>2012</c:v>
                </c:pt>
                <c:pt idx="10">
                  <c:v>2013</c:v>
                </c:pt>
              </c:numCache>
            </c:numRef>
          </c:cat>
          <c:val>
            <c:numRef>
              <c:f>Hoja1!$C$2:$C$12</c:f>
              <c:numCache>
                <c:formatCode>0.00%</c:formatCode>
                <c:ptCount val="11"/>
                <c:pt idx="0" formatCode="General">
                  <c:v>0</c:v>
                </c:pt>
                <c:pt idx="1">
                  <c:v>8.910000000000004E-2</c:v>
                </c:pt>
                <c:pt idx="2">
                  <c:v>0.20240000000000019</c:v>
                </c:pt>
                <c:pt idx="3">
                  <c:v>0.9839</c:v>
                </c:pt>
                <c:pt idx="4">
                  <c:v>0.38650000000000045</c:v>
                </c:pt>
                <c:pt idx="5">
                  <c:v>-0.63890000000000102</c:v>
                </c:pt>
                <c:pt idx="6">
                  <c:v>-0.21910000000000004</c:v>
                </c:pt>
                <c:pt idx="7">
                  <c:v>7.1700000000000014E-2</c:v>
                </c:pt>
                <c:pt idx="8">
                  <c:v>1.4153999999999975</c:v>
                </c:pt>
                <c:pt idx="9">
                  <c:v>0.17269999999999999</c:v>
                </c:pt>
                <c:pt idx="10">
                  <c:v>-0.12139999999999998</c:v>
                </c:pt>
              </c:numCache>
            </c:numRef>
          </c:val>
        </c:ser>
        <c:ser>
          <c:idx val="0"/>
          <c:order val="0"/>
          <c:tx>
            <c:strRef>
              <c:f>Hoja1!$B$1</c:f>
              <c:strCache>
                <c:ptCount val="1"/>
                <c:pt idx="0">
                  <c:v>Ibex 35</c:v>
                </c:pt>
              </c:strCache>
            </c:strRef>
          </c:tx>
          <c:marker>
            <c:symbol val="none"/>
          </c:marker>
          <c:cat>
            <c:numRef>
              <c:f>Hoja1!$A$2:$A$12</c:f>
              <c:numCache>
                <c:formatCode>General</c:formatCode>
                <c:ptCount val="11"/>
                <c:pt idx="0">
                  <c:v>2003</c:v>
                </c:pt>
                <c:pt idx="1">
                  <c:v>2004</c:v>
                </c:pt>
                <c:pt idx="2">
                  <c:v>2005</c:v>
                </c:pt>
                <c:pt idx="3">
                  <c:v>2006</c:v>
                </c:pt>
                <c:pt idx="4">
                  <c:v>2007</c:v>
                </c:pt>
                <c:pt idx="5">
                  <c:v>2008</c:v>
                </c:pt>
                <c:pt idx="6">
                  <c:v>2009</c:v>
                </c:pt>
                <c:pt idx="7">
                  <c:v>2010</c:v>
                </c:pt>
                <c:pt idx="8">
                  <c:v>2011</c:v>
                </c:pt>
                <c:pt idx="9">
                  <c:v>2012</c:v>
                </c:pt>
                <c:pt idx="10">
                  <c:v>2013</c:v>
                </c:pt>
              </c:numCache>
            </c:numRef>
          </c:cat>
          <c:val>
            <c:numRef>
              <c:f>Hoja1!$B$2:$B$12</c:f>
              <c:numCache>
                <c:formatCode>0.00%</c:formatCode>
                <c:ptCount val="11"/>
                <c:pt idx="0">
                  <c:v>0</c:v>
                </c:pt>
                <c:pt idx="1">
                  <c:v>0.17369999999999999</c:v>
                </c:pt>
                <c:pt idx="2">
                  <c:v>0.18200000000000019</c:v>
                </c:pt>
                <c:pt idx="3">
                  <c:v>0.31790000000000052</c:v>
                </c:pt>
                <c:pt idx="4">
                  <c:v>7.3200000000000001E-2</c:v>
                </c:pt>
                <c:pt idx="5">
                  <c:v>-0.39430000000000065</c:v>
                </c:pt>
                <c:pt idx="6">
                  <c:v>0.29840000000000039</c:v>
                </c:pt>
                <c:pt idx="7">
                  <c:v>-0.17430000000000001</c:v>
                </c:pt>
                <c:pt idx="8">
                  <c:v>-0.13109999999999999</c:v>
                </c:pt>
                <c:pt idx="9">
                  <c:v>-4.6599999999999996E-2</c:v>
                </c:pt>
                <c:pt idx="10">
                  <c:v>0.21500000000000019</c:v>
                </c:pt>
              </c:numCache>
            </c:numRef>
          </c:val>
        </c:ser>
        <c:ser>
          <c:idx val="1"/>
          <c:order val="1"/>
          <c:tx>
            <c:strRef>
              <c:f>Hoja1!$C$1</c:f>
              <c:strCache>
                <c:ptCount val="1"/>
                <c:pt idx="0">
                  <c:v>MSM</c:v>
                </c:pt>
              </c:strCache>
            </c:strRef>
          </c:tx>
          <c:marker>
            <c:symbol val="none"/>
          </c:marker>
          <c:cat>
            <c:numRef>
              <c:f>Hoja1!$A$2:$A$12</c:f>
              <c:numCache>
                <c:formatCode>General</c:formatCode>
                <c:ptCount val="11"/>
                <c:pt idx="0">
                  <c:v>2003</c:v>
                </c:pt>
                <c:pt idx="1">
                  <c:v>2004</c:v>
                </c:pt>
                <c:pt idx="2">
                  <c:v>2005</c:v>
                </c:pt>
                <c:pt idx="3">
                  <c:v>2006</c:v>
                </c:pt>
                <c:pt idx="4">
                  <c:v>2007</c:v>
                </c:pt>
                <c:pt idx="5">
                  <c:v>2008</c:v>
                </c:pt>
                <c:pt idx="6">
                  <c:v>2009</c:v>
                </c:pt>
                <c:pt idx="7">
                  <c:v>2010</c:v>
                </c:pt>
                <c:pt idx="8">
                  <c:v>2011</c:v>
                </c:pt>
                <c:pt idx="9">
                  <c:v>2012</c:v>
                </c:pt>
                <c:pt idx="10">
                  <c:v>2013</c:v>
                </c:pt>
              </c:numCache>
            </c:numRef>
          </c:cat>
          <c:val>
            <c:numRef>
              <c:f>Hoja1!$C$2:$C$12</c:f>
              <c:numCache>
                <c:formatCode>0.00%</c:formatCode>
                <c:ptCount val="11"/>
                <c:pt idx="0" formatCode="General">
                  <c:v>0</c:v>
                </c:pt>
                <c:pt idx="1">
                  <c:v>8.910000000000004E-2</c:v>
                </c:pt>
                <c:pt idx="2">
                  <c:v>0.20240000000000019</c:v>
                </c:pt>
                <c:pt idx="3">
                  <c:v>0.9839</c:v>
                </c:pt>
                <c:pt idx="4">
                  <c:v>0.38650000000000045</c:v>
                </c:pt>
                <c:pt idx="5">
                  <c:v>-0.63890000000000102</c:v>
                </c:pt>
                <c:pt idx="6">
                  <c:v>-0.21910000000000004</c:v>
                </c:pt>
                <c:pt idx="7">
                  <c:v>7.1700000000000014E-2</c:v>
                </c:pt>
                <c:pt idx="8">
                  <c:v>1.4153999999999975</c:v>
                </c:pt>
                <c:pt idx="9">
                  <c:v>0.17269999999999999</c:v>
                </c:pt>
                <c:pt idx="10">
                  <c:v>-0.12139999999999998</c:v>
                </c:pt>
              </c:numCache>
            </c:numRef>
          </c:val>
        </c:ser>
        <c:marker val="1"/>
        <c:axId val="110428160"/>
        <c:axId val="110429696"/>
      </c:lineChart>
      <c:catAx>
        <c:axId val="110428160"/>
        <c:scaling>
          <c:orientation val="minMax"/>
        </c:scaling>
        <c:axPos val="b"/>
        <c:numFmt formatCode="General" sourceLinked="1"/>
        <c:majorTickMark val="none"/>
        <c:tickLblPos val="nextTo"/>
        <c:crossAx val="110429696"/>
        <c:crosses val="autoZero"/>
        <c:auto val="1"/>
        <c:lblAlgn val="ctr"/>
        <c:lblOffset val="100"/>
      </c:catAx>
      <c:valAx>
        <c:axId val="110429696"/>
        <c:scaling>
          <c:orientation val="minMax"/>
        </c:scaling>
        <c:axPos val="l"/>
        <c:majorGridlines/>
        <c:numFmt formatCode="0.00%" sourceLinked="1"/>
        <c:majorTickMark val="none"/>
        <c:tickLblPos val="nextTo"/>
        <c:spPr>
          <a:ln w="9525">
            <a:noFill/>
          </a:ln>
        </c:spPr>
        <c:crossAx val="110428160"/>
        <c:crosses val="autoZero"/>
        <c:crossBetween val="between"/>
      </c:valAx>
      <c:spPr>
        <a:noFill/>
        <a:ln w="25400">
          <a:noFill/>
        </a:ln>
      </c:spPr>
    </c:plotArea>
    <c:legend>
      <c:legendPos val="b"/>
    </c:legend>
    <c:plotVisOnly val="1"/>
  </c:chart>
  <c:externalData r:id="rId1"/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es-ES"/>
  <c:style val="47"/>
  <c:chart>
    <c:title/>
    <c:plotArea>
      <c:layout/>
      <c:barChart>
        <c:barDir val="col"/>
        <c:grouping val="clustered"/>
        <c:ser>
          <c:idx val="0"/>
          <c:order val="0"/>
          <c:tx>
            <c:strRef>
              <c:f>Hoja1!$B$1</c:f>
              <c:strCache>
                <c:ptCount val="1"/>
                <c:pt idx="0">
                  <c:v>Rentabilidad media anual</c:v>
                </c:pt>
              </c:strCache>
            </c:strRef>
          </c:tx>
          <c:cat>
            <c:strRef>
              <c:f>Hoja1!$A$2:$A$11</c:f>
              <c:strCache>
                <c:ptCount val="10"/>
                <c:pt idx="0">
                  <c:v>Warren Buffett</c:v>
                </c:pt>
                <c:pt idx="1">
                  <c:v>Pacific Partners </c:v>
                </c:pt>
                <c:pt idx="2">
                  <c:v>Stan perlmeter </c:v>
                </c:pt>
                <c:pt idx="3">
                  <c:v>Sequoia Fund </c:v>
                </c:pt>
                <c:pt idx="4">
                  <c:v>Walter Schloss </c:v>
                </c:pt>
                <c:pt idx="5">
                  <c:v>Tweedy Browne </c:v>
                </c:pt>
                <c:pt idx="6">
                  <c:v>Charles Munger </c:v>
                </c:pt>
                <c:pt idx="7">
                  <c:v>Bestinver(2003-2013)</c:v>
                </c:pt>
                <c:pt idx="8">
                  <c:v>MSM(2003-2013)</c:v>
                </c:pt>
                <c:pt idx="9">
                  <c:v>Ibex 35 (2003-2013)</c:v>
                </c:pt>
              </c:strCache>
            </c:strRef>
          </c:cat>
          <c:val>
            <c:numRef>
              <c:f>Hoja1!$B$2:$B$11</c:f>
              <c:numCache>
                <c:formatCode>0.00%</c:formatCode>
                <c:ptCount val="10"/>
                <c:pt idx="0">
                  <c:v>0.20200000000000001</c:v>
                </c:pt>
                <c:pt idx="1">
                  <c:v>0.23600000000000004</c:v>
                </c:pt>
                <c:pt idx="2">
                  <c:v>0.19</c:v>
                </c:pt>
                <c:pt idx="3">
                  <c:v>0.18200000000000019</c:v>
                </c:pt>
                <c:pt idx="4">
                  <c:v>0.161</c:v>
                </c:pt>
                <c:pt idx="5">
                  <c:v>0.16</c:v>
                </c:pt>
                <c:pt idx="6">
                  <c:v>0.13700000000000001</c:v>
                </c:pt>
                <c:pt idx="7">
                  <c:v>0.1230000000000001</c:v>
                </c:pt>
                <c:pt idx="8">
                  <c:v>0.23419999999999999</c:v>
                </c:pt>
                <c:pt idx="9">
                  <c:v>5.1400000000000001E-2</c:v>
                </c:pt>
              </c:numCache>
            </c:numRef>
          </c:val>
        </c:ser>
        <c:axId val="103142528"/>
        <c:axId val="103144064"/>
      </c:barChart>
      <c:catAx>
        <c:axId val="103142528"/>
        <c:scaling>
          <c:orientation val="minMax"/>
        </c:scaling>
        <c:axPos val="b"/>
        <c:tickLblPos val="nextTo"/>
        <c:crossAx val="103144064"/>
        <c:crosses val="autoZero"/>
        <c:auto val="1"/>
        <c:lblAlgn val="ctr"/>
        <c:lblOffset val="100"/>
      </c:catAx>
      <c:valAx>
        <c:axId val="103144064"/>
        <c:scaling>
          <c:orientation val="minMax"/>
        </c:scaling>
        <c:axPos val="l"/>
        <c:majorGridlines/>
        <c:numFmt formatCode="0.00%" sourceLinked="1"/>
        <c:tickLblPos val="nextTo"/>
        <c:crossAx val="103142528"/>
        <c:crosses val="autoZero"/>
        <c:crossBetween val="between"/>
      </c:valAx>
    </c:plotArea>
    <c:legend>
      <c:legendPos val="r"/>
    </c:legend>
    <c:plotVisOnly val="1"/>
  </c:chart>
  <c:externalData r:id="rId1"/>
</c:chartSpace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</Words>
  <Characters>10</Characters>
  <Application>Microsoft Office Word</Application>
  <DocSecurity>0</DocSecurity>
  <Lines>1</Lines>
  <Paragraphs>1</Paragraphs>
  <ScaleCrop>false</ScaleCrop>
  <Company/>
  <LinksUpToDate>false</LinksUpToDate>
  <CharactersWithSpaces>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</dc:creator>
  <cp:keywords/>
  <dc:description/>
  <cp:lastModifiedBy>Eduardo</cp:lastModifiedBy>
  <cp:revision>7</cp:revision>
  <dcterms:created xsi:type="dcterms:W3CDTF">2014-01-04T12:28:00Z</dcterms:created>
  <dcterms:modified xsi:type="dcterms:W3CDTF">2014-01-04T13:03:00Z</dcterms:modified>
</cp:coreProperties>
</file>