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DCE35" w14:textId="2208BDDE" w:rsidR="00F457F0" w:rsidRPr="003F725B" w:rsidRDefault="00F457F0">
      <w:pPr>
        <w:rPr>
          <w:rFonts w:ascii="Verdana" w:hAnsi="Verdana"/>
          <w:sz w:val="28"/>
          <w:szCs w:val="28"/>
          <w:lang w:val="de-DE"/>
        </w:rPr>
      </w:pPr>
    </w:p>
    <w:p w14:paraId="3F260F0C" w14:textId="77777777" w:rsidR="00160584" w:rsidRDefault="00160584">
      <w:pPr>
        <w:rPr>
          <w:rFonts w:ascii="Verdana" w:hAnsi="Verdana"/>
          <w:b/>
          <w:bCs/>
          <w:color w:val="FF0000"/>
          <w:sz w:val="32"/>
          <w:szCs w:val="32"/>
          <w:lang w:val="de-DE"/>
        </w:rPr>
      </w:pPr>
      <w:bookmarkStart w:id="0" w:name="_Hlk121044032"/>
    </w:p>
    <w:p w14:paraId="41645DD7" w14:textId="050D6BAF" w:rsidR="000B106B" w:rsidRDefault="000B106B" w:rsidP="000B106B">
      <w:pPr>
        <w:rPr>
          <w:rFonts w:ascii="Verdana" w:hAnsi="Verdana"/>
          <w:b/>
          <w:bCs/>
          <w:sz w:val="28"/>
          <w:szCs w:val="28"/>
          <w:lang w:val="de-DE"/>
        </w:rPr>
      </w:pPr>
      <w:r w:rsidRPr="000B106B">
        <w:rPr>
          <w:b/>
          <w:sz w:val="28"/>
          <w:szCs w:val="28"/>
          <w:lang w:val="es"/>
        </w:rPr>
        <w:t>Feliz y próspero Año Nuevo</w:t>
      </w:r>
    </w:p>
    <w:p w14:paraId="6EE8C228" w14:textId="4D4CF8B5" w:rsidR="006D6188" w:rsidRPr="000B106B" w:rsidRDefault="006723AC" w:rsidP="000B106B">
      <w:pPr>
        <w:rPr>
          <w:rFonts w:ascii="Verdana" w:hAnsi="Verdana"/>
          <w:b/>
          <w:bCs/>
          <w:sz w:val="28"/>
          <w:szCs w:val="28"/>
          <w:lang w:val="de-DE"/>
        </w:rPr>
      </w:pPr>
      <w:r>
        <w:rPr>
          <w:rFonts w:ascii="Verdana" w:hAnsi="Verdana"/>
          <w:b/>
          <w:bCs/>
          <w:sz w:val="28"/>
          <w:szCs w:val="28"/>
          <w:lang w:val="de-DE"/>
        </w:rPr>
        <w:t>,</w:t>
      </w:r>
    </w:p>
    <w:p w14:paraId="7C532130" w14:textId="652D9483" w:rsidR="000B106B" w:rsidRPr="000B106B" w:rsidRDefault="000B106B" w:rsidP="000B106B">
      <w:pPr>
        <w:rPr>
          <w:rFonts w:ascii="Verdana" w:hAnsi="Verdana"/>
          <w:b/>
          <w:bCs/>
          <w:sz w:val="28"/>
          <w:szCs w:val="28"/>
          <w:lang w:val="de-DE"/>
        </w:rPr>
      </w:pPr>
      <w:r w:rsidRPr="000B106B">
        <w:rPr>
          <w:b/>
          <w:sz w:val="28"/>
          <w:szCs w:val="28"/>
          <w:lang w:val="es"/>
        </w:rPr>
        <w:t xml:space="preserve">El comercio se </w:t>
      </w:r>
      <w:r w:rsidR="006723AC">
        <w:rPr>
          <w:b/>
          <w:sz w:val="28"/>
          <w:szCs w:val="28"/>
          <w:lang w:val="es"/>
        </w:rPr>
        <w:t>reanudará de nuevo</w:t>
      </w:r>
      <w:r w:rsidRPr="000B106B">
        <w:rPr>
          <w:b/>
          <w:sz w:val="28"/>
          <w:szCs w:val="28"/>
          <w:lang w:val="es"/>
        </w:rPr>
        <w:t xml:space="preserve"> de acuerdo con las </w:t>
      </w:r>
      <w:proofErr w:type="gramStart"/>
      <w:r w:rsidRPr="000B106B">
        <w:rPr>
          <w:b/>
          <w:sz w:val="28"/>
          <w:szCs w:val="28"/>
          <w:lang w:val="es"/>
        </w:rPr>
        <w:t xml:space="preserve">reglas  </w:t>
      </w:r>
      <w:r w:rsidR="006723AC">
        <w:rPr>
          <w:b/>
          <w:sz w:val="28"/>
          <w:szCs w:val="28"/>
          <w:lang w:val="es"/>
        </w:rPr>
        <w:t>0</w:t>
      </w:r>
      <w:r w:rsidRPr="000B106B">
        <w:rPr>
          <w:b/>
          <w:sz w:val="28"/>
          <w:szCs w:val="28"/>
          <w:lang w:val="es"/>
        </w:rPr>
        <w:t>9</w:t>
      </w:r>
      <w:proofErr w:type="gramEnd"/>
      <w:r w:rsidR="006723AC">
        <w:rPr>
          <w:b/>
          <w:sz w:val="28"/>
          <w:szCs w:val="28"/>
          <w:lang w:val="es"/>
        </w:rPr>
        <w:t>/0</w:t>
      </w:r>
      <w:r w:rsidRPr="000B106B">
        <w:rPr>
          <w:b/>
          <w:sz w:val="28"/>
          <w:szCs w:val="28"/>
          <w:lang w:val="es"/>
        </w:rPr>
        <w:t>1</w:t>
      </w:r>
      <w:r w:rsidR="006723AC">
        <w:rPr>
          <w:b/>
          <w:sz w:val="28"/>
          <w:szCs w:val="28"/>
          <w:lang w:val="es"/>
        </w:rPr>
        <w:t>/</w:t>
      </w:r>
      <w:r w:rsidRPr="000B106B">
        <w:rPr>
          <w:b/>
          <w:sz w:val="28"/>
          <w:szCs w:val="28"/>
          <w:lang w:val="es"/>
        </w:rPr>
        <w:t>23</w:t>
      </w:r>
    </w:p>
    <w:p w14:paraId="1116A777" w14:textId="74CF5E42" w:rsidR="00160584" w:rsidRPr="000B106B" w:rsidRDefault="000B106B">
      <w:pPr>
        <w:rPr>
          <w:rFonts w:ascii="Verdana" w:hAnsi="Verdana"/>
          <w:b/>
          <w:bCs/>
          <w:sz w:val="28"/>
          <w:szCs w:val="28"/>
          <w:lang w:val="de-DE"/>
        </w:rPr>
      </w:pPr>
      <w:r w:rsidRPr="000B106B">
        <w:rPr>
          <w:b/>
          <w:sz w:val="28"/>
          <w:szCs w:val="28"/>
          <w:lang w:val="es"/>
        </w:rPr>
        <w:t>Hay una buena razón para la ruptura</w:t>
      </w:r>
      <w:r w:rsidR="006723AC">
        <w:rPr>
          <w:b/>
          <w:sz w:val="28"/>
          <w:szCs w:val="28"/>
          <w:lang w:val="es"/>
        </w:rPr>
        <w:t xml:space="preserve">, </w:t>
      </w:r>
      <w:r w:rsidR="00B70D3E">
        <w:rPr>
          <w:b/>
          <w:sz w:val="28"/>
          <w:szCs w:val="28"/>
          <w:lang w:val="es"/>
        </w:rPr>
        <w:t>unas merecidas vacaciones</w:t>
      </w:r>
      <w:r>
        <w:rPr>
          <w:lang w:val="es"/>
        </w:rPr>
        <w:t xml:space="preserve">, </w:t>
      </w:r>
      <w:r w:rsidRPr="000B106B">
        <w:rPr>
          <w:b/>
          <w:sz w:val="28"/>
          <w:szCs w:val="28"/>
          <w:lang w:val="es"/>
        </w:rPr>
        <w:t xml:space="preserve">pero también se ha demostrado a lo largo de los años </w:t>
      </w:r>
      <w:proofErr w:type="gramStart"/>
      <w:r w:rsidRPr="000B106B">
        <w:rPr>
          <w:b/>
          <w:sz w:val="28"/>
          <w:szCs w:val="28"/>
          <w:lang w:val="es"/>
        </w:rPr>
        <w:t>que</w:t>
      </w:r>
      <w:proofErr w:type="gramEnd"/>
      <w:r w:rsidRPr="000B106B">
        <w:rPr>
          <w:b/>
          <w:sz w:val="28"/>
          <w:szCs w:val="28"/>
          <w:lang w:val="es"/>
        </w:rPr>
        <w:t xml:space="preserve"> en un comercio con un volumen muy bajo, la aplicación de las reglas no es óptima.</w:t>
      </w:r>
    </w:p>
    <w:p w14:paraId="3A1936E8" w14:textId="77777777" w:rsidR="00160584" w:rsidRPr="000B106B" w:rsidRDefault="00160584">
      <w:pPr>
        <w:rPr>
          <w:rFonts w:ascii="Verdana" w:hAnsi="Verdana"/>
          <w:b/>
          <w:bCs/>
          <w:sz w:val="28"/>
          <w:szCs w:val="28"/>
          <w:lang w:val="de-DE"/>
        </w:rPr>
      </w:pPr>
    </w:p>
    <w:p w14:paraId="7E1C28DE" w14:textId="5C3D6359" w:rsidR="00F457F0" w:rsidRPr="000B106B" w:rsidRDefault="003F725B">
      <w:pPr>
        <w:rPr>
          <w:rFonts w:ascii="Verdana" w:hAnsi="Verdana"/>
          <w:b/>
          <w:bCs/>
          <w:sz w:val="28"/>
          <w:szCs w:val="28"/>
          <w:lang w:val="de-DE"/>
        </w:rPr>
      </w:pPr>
      <w:r w:rsidRPr="000B106B">
        <w:rPr>
          <w:b/>
          <w:sz w:val="28"/>
          <w:szCs w:val="28"/>
          <w:lang w:val="es"/>
        </w:rPr>
        <w:t>Evolución de los resultados desde el 1 de agosto de 2022 (informes semanales en artículo y análisis)</w:t>
      </w:r>
    </w:p>
    <w:p w14:paraId="2BAF426B" w14:textId="77777777" w:rsidR="003F725B" w:rsidRPr="003F725B" w:rsidRDefault="003F725B">
      <w:pPr>
        <w:rPr>
          <w:rFonts w:ascii="Verdana" w:hAnsi="Verdana"/>
          <w:b/>
          <w:bCs/>
          <w:color w:val="FF0000"/>
          <w:sz w:val="32"/>
          <w:szCs w:val="32"/>
          <w:lang w:val="de-DE"/>
        </w:rPr>
      </w:pPr>
    </w:p>
    <w:p w14:paraId="4B7151E5" w14:textId="2A679764" w:rsidR="00C91FD6" w:rsidRPr="003F725B" w:rsidRDefault="00C91FD6">
      <w:pPr>
        <w:rPr>
          <w:rFonts w:ascii="Verdana" w:hAnsi="Verdana"/>
          <w:b/>
          <w:bCs/>
          <w:sz w:val="32"/>
          <w:szCs w:val="32"/>
          <w:lang w:val="de-DE"/>
        </w:rPr>
      </w:pPr>
      <w:r w:rsidRPr="003F725B">
        <w:rPr>
          <w:b/>
          <w:sz w:val="32"/>
          <w:szCs w:val="32"/>
          <w:lang w:val="es"/>
        </w:rPr>
        <w:t>Gestión de dinero y riesgo</w:t>
      </w:r>
      <w:r w:rsidR="003F725B">
        <w:rPr>
          <w:b/>
          <w:sz w:val="32"/>
          <w:szCs w:val="32"/>
          <w:lang w:val="es"/>
        </w:rPr>
        <w:t xml:space="preserve"> de la</w:t>
      </w:r>
      <w:r w:rsidR="003F725B" w:rsidRPr="003F725B">
        <w:rPr>
          <w:b/>
          <w:sz w:val="32"/>
          <w:szCs w:val="32"/>
          <w:lang w:val="es"/>
        </w:rPr>
        <w:t>ESTRATEGIA COMERCIAL FDAX</w:t>
      </w:r>
    </w:p>
    <w:p w14:paraId="512707C2" w14:textId="77777777" w:rsidR="00C91FD6" w:rsidRPr="00C91FD6" w:rsidRDefault="00C91FD6">
      <w:pPr>
        <w:rPr>
          <w:rFonts w:ascii="Verdana" w:hAnsi="Verdana"/>
          <w:b/>
          <w:bCs/>
          <w:sz w:val="28"/>
          <w:szCs w:val="28"/>
          <w:lang w:val="de-DE"/>
        </w:rPr>
      </w:pPr>
    </w:p>
    <w:p w14:paraId="292E6A54" w14:textId="77777777" w:rsidR="003F725B" w:rsidRDefault="00C91FD6">
      <w:pPr>
        <w:rPr>
          <w:rFonts w:ascii="Verdana" w:hAnsi="Verdana"/>
          <w:b/>
          <w:bCs/>
          <w:sz w:val="28"/>
          <w:szCs w:val="28"/>
          <w:lang w:val="de-DE"/>
        </w:rPr>
      </w:pPr>
      <w:r w:rsidRPr="00C91FD6">
        <w:rPr>
          <w:b/>
          <w:sz w:val="28"/>
          <w:szCs w:val="28"/>
          <w:lang w:val="es"/>
        </w:rPr>
        <w:t xml:space="preserve">Además de los ingresos, la formación de capital a largo plazo se busca por etapas, es decir, a través de aumentos de posición solo después de una formación de capital positiva. Acortamiento de posición después de un contratiempo. </w:t>
      </w:r>
    </w:p>
    <w:p w14:paraId="7167E466" w14:textId="74B1F25A" w:rsidR="00C91FD6" w:rsidRPr="00C91FD6" w:rsidRDefault="00C91FD6">
      <w:pPr>
        <w:rPr>
          <w:rFonts w:ascii="Verdana" w:hAnsi="Verdana"/>
          <w:b/>
          <w:bCs/>
          <w:sz w:val="28"/>
          <w:szCs w:val="28"/>
          <w:lang w:val="de-DE"/>
        </w:rPr>
      </w:pPr>
      <w:r w:rsidRPr="00C91FD6">
        <w:rPr>
          <w:b/>
          <w:sz w:val="28"/>
          <w:szCs w:val="28"/>
          <w:lang w:val="es"/>
        </w:rPr>
        <w:t>Tan pronto como la pérdida alcanza la mitad del último nivel de aumento</w:t>
      </w:r>
      <w:r w:rsidR="003F725B">
        <w:rPr>
          <w:b/>
          <w:sz w:val="28"/>
          <w:szCs w:val="28"/>
          <w:lang w:val="es"/>
        </w:rPr>
        <w:t>,</w:t>
      </w:r>
      <w:r w:rsidRPr="00C91FD6">
        <w:rPr>
          <w:b/>
          <w:sz w:val="28"/>
          <w:szCs w:val="28"/>
          <w:lang w:val="es"/>
        </w:rPr>
        <w:t xml:space="preserve"> el tamaño de la posición se mueve hacia atrás un nivel. </w:t>
      </w:r>
    </w:p>
    <w:p w14:paraId="195A6B95" w14:textId="77777777" w:rsidR="003F725B" w:rsidRDefault="00C91FD6">
      <w:pPr>
        <w:rPr>
          <w:rFonts w:ascii="Verdana" w:hAnsi="Verdana"/>
          <w:b/>
          <w:bCs/>
          <w:sz w:val="28"/>
          <w:szCs w:val="28"/>
          <w:lang w:val="de-DE"/>
        </w:rPr>
      </w:pPr>
      <w:r w:rsidRPr="00C91FD6">
        <w:rPr>
          <w:b/>
          <w:sz w:val="28"/>
          <w:szCs w:val="28"/>
          <w:lang w:val="es"/>
        </w:rPr>
        <w:t xml:space="preserve">Por lo tanto, la gestión de pérdidas se lleva a cabo en dos niveles. </w:t>
      </w:r>
    </w:p>
    <w:p w14:paraId="274C40D6" w14:textId="27AB63B5" w:rsidR="003F725B" w:rsidRDefault="00C91FD6">
      <w:pPr>
        <w:rPr>
          <w:rFonts w:ascii="Verdana" w:hAnsi="Verdana"/>
          <w:b/>
          <w:bCs/>
          <w:sz w:val="28"/>
          <w:szCs w:val="28"/>
          <w:lang w:val="de-DE"/>
        </w:rPr>
      </w:pPr>
      <w:r w:rsidRPr="00C91FD6">
        <w:rPr>
          <w:b/>
          <w:sz w:val="28"/>
          <w:szCs w:val="28"/>
          <w:lang w:val="es"/>
        </w:rPr>
        <w:t xml:space="preserve">1.Intradía por stop de pérdida fija 35 puntos por debajo y por encima de la segunda zona de acción. Todavía por tres paradas de acción, ver </w:t>
      </w:r>
      <w:r w:rsidR="003F725B">
        <w:rPr>
          <w:b/>
          <w:sz w:val="28"/>
          <w:szCs w:val="28"/>
          <w:lang w:val="es"/>
        </w:rPr>
        <w:t>reglas</w:t>
      </w:r>
      <w:r>
        <w:rPr>
          <w:lang w:val="es"/>
        </w:rPr>
        <w:t xml:space="preserve">, y por restricciones, por </w:t>
      </w:r>
      <w:r w:rsidRPr="00C91FD6">
        <w:rPr>
          <w:b/>
          <w:sz w:val="28"/>
          <w:szCs w:val="28"/>
          <w:lang w:val="es"/>
        </w:rPr>
        <w:t>ejemplo, no hay nueva apertura de posiciones entre las 13:00h y las 14:45h</w:t>
      </w:r>
      <w:r w:rsidR="003F725B">
        <w:rPr>
          <w:b/>
          <w:sz w:val="28"/>
          <w:szCs w:val="28"/>
          <w:lang w:val="es"/>
        </w:rPr>
        <w:t xml:space="preserve"> o no hay negociación por la tarde cuando los futuros del DOW (DJIA FUT) se negocian por encima / por debajo del 1%</w:t>
      </w:r>
    </w:p>
    <w:p w14:paraId="7FBD2D3F" w14:textId="069FE8E4" w:rsidR="00F457F0" w:rsidRPr="00C91FD6" w:rsidRDefault="00C91FD6">
      <w:pPr>
        <w:rPr>
          <w:rFonts w:ascii="Verdana" w:hAnsi="Verdana"/>
          <w:b/>
          <w:bCs/>
          <w:sz w:val="28"/>
          <w:szCs w:val="28"/>
          <w:lang w:val="de-DE"/>
        </w:rPr>
      </w:pPr>
      <w:r w:rsidRPr="00C91FD6">
        <w:rPr>
          <w:b/>
          <w:sz w:val="28"/>
          <w:szCs w:val="28"/>
          <w:lang w:val="es"/>
        </w:rPr>
        <w:t xml:space="preserve">2. En el marco de tiempo general, la cobertura de beneficios mediante la gestión del dinero. </w:t>
      </w:r>
    </w:p>
    <w:p w14:paraId="1797057F" w14:textId="2CC5349A" w:rsidR="00E07DC7" w:rsidRPr="00E07DC7" w:rsidRDefault="00F457F0">
      <w:pPr>
        <w:rPr>
          <w:rFonts w:ascii="Verdana" w:hAnsi="Verdana"/>
          <w:b/>
          <w:bCs/>
          <w:sz w:val="28"/>
          <w:szCs w:val="28"/>
          <w:lang w:val="de-DE"/>
        </w:rPr>
      </w:pPr>
      <w:r w:rsidRPr="00E07DC7">
        <w:rPr>
          <w:b/>
          <w:sz w:val="28"/>
          <w:szCs w:val="28"/>
          <w:lang w:val="es"/>
        </w:rPr>
        <w:lastRenderedPageBreak/>
        <w:t xml:space="preserve">El siguiente gráfico ofrece una visión general de la evolución de los posibles resultados conservadores de la negociación de CFD desde principios de agosto. </w:t>
      </w:r>
      <w:r w:rsidRPr="00E07DC7">
        <w:rPr>
          <w:b/>
          <w:sz w:val="28"/>
          <w:szCs w:val="28"/>
          <w:lang w:val="es"/>
        </w:rPr>
        <w:br/>
      </w:r>
      <w:bookmarkEnd w:id="0"/>
      <w:r w:rsidRPr="00E07DC7">
        <w:rPr>
          <w:b/>
          <w:sz w:val="28"/>
          <w:szCs w:val="28"/>
          <w:lang w:val="es"/>
        </w:rPr>
        <w:br/>
      </w:r>
      <w:r w:rsidR="00E07DC7">
        <w:rPr>
          <w:b/>
          <w:sz w:val="28"/>
          <w:szCs w:val="28"/>
          <w:lang w:val="es"/>
        </w:rPr>
        <w:t xml:space="preserve"> La estrategia ha demostrado ser extremadamente sólida en un entorno política y económicamente difícil con alta volatilidad y precios que caen y aumentan rápidamente.</w:t>
      </w:r>
    </w:p>
    <w:p w14:paraId="3980B886" w14:textId="77777777" w:rsidR="00DE3845" w:rsidRPr="00DE3845" w:rsidRDefault="006723AC" w:rsidP="00DE3845">
      <w:pPr>
        <w:rPr>
          <w:rFonts w:ascii="Verdana" w:hAnsi="Verdana"/>
          <w:b/>
          <w:bCs/>
          <w:sz w:val="28"/>
          <w:szCs w:val="28"/>
          <w:u w:val="single"/>
          <w:lang w:val="de-DE"/>
        </w:rPr>
      </w:pPr>
      <w:hyperlink r:id="rId5" w:history="1">
        <w:r w:rsidR="00DE3845" w:rsidRPr="006723AC">
          <w:rPr>
            <w:b/>
            <w:sz w:val="28"/>
            <w:szCs w:val="28"/>
            <w:u w:val="single"/>
            <w:lang w:val="de-DE"/>
          </w:rPr>
          <w:t>https://www.vtad.de/fdax-trading-strategie-ergebnis-19-12-23-12-2022/</w:t>
        </w:r>
      </w:hyperlink>
    </w:p>
    <w:p w14:paraId="1A33AEEB" w14:textId="77777777" w:rsidR="00DE3845" w:rsidRPr="006D6188" w:rsidRDefault="00DE3845" w:rsidP="00DE3845">
      <w:pPr>
        <w:rPr>
          <w:rFonts w:ascii="Verdana" w:hAnsi="Verdana"/>
          <w:b/>
          <w:bCs/>
          <w:sz w:val="28"/>
          <w:szCs w:val="28"/>
          <w:lang w:val="de-DE"/>
        </w:rPr>
      </w:pPr>
      <w:r w:rsidRPr="006D6188">
        <w:rPr>
          <w:b/>
          <w:sz w:val="28"/>
          <w:szCs w:val="28"/>
          <w:lang w:val="es"/>
        </w:rPr>
        <w:t>Operar CFDs DAX 40 Gráfico by ProRealTime</w:t>
      </w:r>
    </w:p>
    <w:p w14:paraId="4BCA36BA" w14:textId="77777777" w:rsidR="00DE3845" w:rsidRPr="006D6188" w:rsidRDefault="00DE3845" w:rsidP="00DE3845">
      <w:pPr>
        <w:rPr>
          <w:rFonts w:ascii="Verdana" w:hAnsi="Verdana"/>
          <w:b/>
          <w:bCs/>
          <w:sz w:val="28"/>
          <w:szCs w:val="28"/>
          <w:lang w:val="de-DE"/>
        </w:rPr>
      </w:pPr>
      <w:r w:rsidRPr="006D6188">
        <w:rPr>
          <w:b/>
          <w:sz w:val="28"/>
          <w:szCs w:val="28"/>
          <w:lang w:val="es"/>
        </w:rPr>
        <w:t>Desarrollo a partir del 1 de agosto de 2022.</w:t>
      </w:r>
    </w:p>
    <w:p w14:paraId="27A250BE" w14:textId="77777777" w:rsidR="00DE3845" w:rsidRPr="006D6188" w:rsidRDefault="00DE3845" w:rsidP="00DE3845">
      <w:pPr>
        <w:rPr>
          <w:rFonts w:ascii="Verdana" w:hAnsi="Verdana"/>
          <w:b/>
          <w:bCs/>
          <w:sz w:val="28"/>
          <w:szCs w:val="28"/>
          <w:lang w:val="de-DE"/>
        </w:rPr>
      </w:pPr>
      <w:r w:rsidRPr="006D6188">
        <w:rPr>
          <w:b/>
          <w:sz w:val="28"/>
          <w:szCs w:val="28"/>
          <w:lang w:val="es"/>
        </w:rPr>
        <w:t>•Capital inicial €4,000 operando 1 y 2 CFDs</w:t>
      </w:r>
    </w:p>
    <w:p w14:paraId="19005454" w14:textId="77777777" w:rsidR="00DE3845" w:rsidRPr="006D6188" w:rsidRDefault="00DE3845" w:rsidP="00DE3845">
      <w:pPr>
        <w:rPr>
          <w:rFonts w:ascii="Verdana" w:hAnsi="Verdana"/>
          <w:b/>
          <w:bCs/>
          <w:sz w:val="28"/>
          <w:szCs w:val="28"/>
          <w:lang w:val="de-DE"/>
        </w:rPr>
      </w:pPr>
      <w:r w:rsidRPr="006D6188">
        <w:rPr>
          <w:b/>
          <w:sz w:val="28"/>
          <w:szCs w:val="28"/>
          <w:lang w:val="es"/>
        </w:rPr>
        <w:t>•A partir del 5 de septiembre resultado 2.030€ de capital 6.030€. Opere CFDs de 1.5 y 3</w:t>
      </w:r>
    </w:p>
    <w:p w14:paraId="3CAFE30C" w14:textId="77777777" w:rsidR="00DE3845" w:rsidRPr="006D6188" w:rsidRDefault="00DE3845" w:rsidP="00DE3845">
      <w:pPr>
        <w:rPr>
          <w:rFonts w:ascii="Verdana" w:hAnsi="Verdana"/>
          <w:b/>
          <w:bCs/>
          <w:sz w:val="28"/>
          <w:szCs w:val="28"/>
          <w:lang w:val="de-DE"/>
        </w:rPr>
      </w:pPr>
      <w:r w:rsidRPr="006D6188">
        <w:rPr>
          <w:b/>
          <w:sz w:val="28"/>
          <w:szCs w:val="28"/>
          <w:lang w:val="es"/>
        </w:rPr>
        <w:t>•A partir del 3 de octubre resultado 5.625 € capital 9625. Operar con 2 y 4 CFDs</w:t>
      </w:r>
    </w:p>
    <w:p w14:paraId="42A6169B" w14:textId="77777777" w:rsidR="00DE3845" w:rsidRPr="006D6188" w:rsidRDefault="00DE3845" w:rsidP="00DE3845">
      <w:pPr>
        <w:rPr>
          <w:rFonts w:ascii="Verdana" w:hAnsi="Verdana"/>
          <w:b/>
          <w:bCs/>
          <w:sz w:val="28"/>
          <w:szCs w:val="28"/>
          <w:lang w:val="de-DE"/>
        </w:rPr>
      </w:pPr>
      <w:r w:rsidRPr="006D6188">
        <w:rPr>
          <w:b/>
          <w:sz w:val="28"/>
          <w:szCs w:val="28"/>
          <w:lang w:val="es"/>
        </w:rPr>
        <w:t>•A partir del 17 de octubre gana 8225 capital 12.225€. Opere 3 y 6 CFDs</w:t>
      </w:r>
    </w:p>
    <w:p w14:paraId="78BE0A94" w14:textId="77777777" w:rsidR="00DE3845" w:rsidRPr="006D6188" w:rsidRDefault="00DE3845" w:rsidP="00DE3845">
      <w:pPr>
        <w:rPr>
          <w:rFonts w:ascii="Verdana" w:hAnsi="Verdana"/>
          <w:b/>
          <w:bCs/>
          <w:sz w:val="28"/>
          <w:szCs w:val="28"/>
          <w:lang w:val="de-DE"/>
        </w:rPr>
      </w:pPr>
      <w:r w:rsidRPr="006D6188">
        <w:rPr>
          <w:b/>
          <w:sz w:val="28"/>
          <w:szCs w:val="28"/>
          <w:lang w:val="es"/>
        </w:rPr>
        <w:t>•A partir del resultado del 7 de noviembre 14.115 € capital 18.115º trading 4 y 8 CFDs</w:t>
      </w:r>
    </w:p>
    <w:p w14:paraId="2DA8BA8A" w14:textId="77777777" w:rsidR="00DE3845" w:rsidRPr="006D6188" w:rsidRDefault="00DE3845" w:rsidP="00DE3845">
      <w:pPr>
        <w:rPr>
          <w:rFonts w:ascii="Verdana" w:hAnsi="Verdana"/>
          <w:b/>
          <w:bCs/>
          <w:sz w:val="28"/>
          <w:szCs w:val="28"/>
          <w:lang w:val="de-DE"/>
        </w:rPr>
      </w:pPr>
      <w:r w:rsidRPr="006D6188">
        <w:rPr>
          <w:b/>
          <w:sz w:val="28"/>
          <w:szCs w:val="28"/>
          <w:lang w:val="es"/>
        </w:rPr>
        <w:t>•A partir del 21 de noviembre resultan 19.375 capitales 23.375 operando 5 y 10 CFDs.</w:t>
      </w:r>
    </w:p>
    <w:p w14:paraId="3D0913D4" w14:textId="77777777" w:rsidR="00DE3845" w:rsidRPr="006D6188" w:rsidRDefault="00DE3845" w:rsidP="00DE3845">
      <w:pPr>
        <w:rPr>
          <w:rFonts w:ascii="Verdana" w:hAnsi="Verdana"/>
          <w:b/>
          <w:bCs/>
          <w:sz w:val="28"/>
          <w:szCs w:val="28"/>
          <w:lang w:val="de-DE"/>
        </w:rPr>
      </w:pPr>
      <w:r w:rsidRPr="006D6188">
        <w:rPr>
          <w:b/>
          <w:sz w:val="28"/>
          <w:szCs w:val="28"/>
          <w:lang w:val="es"/>
        </w:rPr>
        <w:t>El posible resultado realista desde el 1º de agosto hasta el 23 de diciembre es el siguiente:</w:t>
      </w:r>
    </w:p>
    <w:p w14:paraId="204A81BC" w14:textId="77777777" w:rsidR="00DE3845" w:rsidRPr="006D6188" w:rsidRDefault="00DE3845" w:rsidP="00DE3845">
      <w:pPr>
        <w:rPr>
          <w:rFonts w:ascii="Verdana" w:hAnsi="Verdana"/>
          <w:b/>
          <w:bCs/>
          <w:sz w:val="28"/>
          <w:szCs w:val="28"/>
          <w:lang w:val="de-DE"/>
        </w:rPr>
      </w:pPr>
      <w:r w:rsidRPr="006D6188">
        <w:rPr>
          <w:b/>
          <w:sz w:val="28"/>
          <w:szCs w:val="28"/>
          <w:lang w:val="es"/>
        </w:rPr>
        <w:t>104 días de negociación. Beneficio con aumento de participaciones después de una curva de capital positiva. Resultado 28.535 Capital 32.535€</w:t>
      </w:r>
    </w:p>
    <w:p w14:paraId="655FDB57" w14:textId="77777777" w:rsidR="00DE3845" w:rsidRPr="006D6188" w:rsidRDefault="00DE3845" w:rsidP="00DE3845">
      <w:pPr>
        <w:rPr>
          <w:rFonts w:ascii="Verdana" w:hAnsi="Verdana"/>
          <w:b/>
          <w:bCs/>
          <w:sz w:val="28"/>
          <w:szCs w:val="28"/>
          <w:lang w:val="de-DE"/>
        </w:rPr>
      </w:pPr>
      <w:r w:rsidRPr="006D6188">
        <w:rPr>
          <w:b/>
          <w:sz w:val="28"/>
          <w:szCs w:val="28"/>
          <w:lang w:val="es"/>
        </w:rPr>
        <w:t>Pérdidas en un total de 6 días de negociación por un total de 525 €. El último día de pérdida fue el 20.9.22.</w:t>
      </w:r>
    </w:p>
    <w:p w14:paraId="296E94D7" w14:textId="77777777" w:rsidR="00DE3845" w:rsidRPr="006D6188" w:rsidRDefault="00DE3845" w:rsidP="00DE3845">
      <w:pPr>
        <w:rPr>
          <w:rFonts w:ascii="Verdana" w:hAnsi="Verdana"/>
          <w:b/>
          <w:bCs/>
          <w:sz w:val="28"/>
          <w:szCs w:val="28"/>
          <w:lang w:val="de-DE"/>
        </w:rPr>
      </w:pPr>
      <w:r w:rsidRPr="006D6188">
        <w:rPr>
          <w:b/>
          <w:sz w:val="28"/>
          <w:szCs w:val="28"/>
          <w:lang w:val="es"/>
        </w:rPr>
        <w:t>Este período de negociación muy largo con una cotización VDAX-NEW de 20-35 sin pérdida diaria es excepcional y a largo plazo los días ganadores fueron del 85%.</w:t>
      </w:r>
    </w:p>
    <w:p w14:paraId="1250B5BA" w14:textId="4C4FD1A4" w:rsidR="00DE3845" w:rsidRPr="00E31C2A" w:rsidRDefault="00DE3845" w:rsidP="00DE3845">
      <w:pPr>
        <w:rPr>
          <w:rFonts w:ascii="Verdana" w:hAnsi="Verdana"/>
          <w:sz w:val="24"/>
          <w:szCs w:val="24"/>
          <w:lang w:val="de-DE"/>
        </w:rPr>
      </w:pPr>
    </w:p>
    <w:p w14:paraId="0FAC63AE" w14:textId="2E8A6B74" w:rsidR="001045A9" w:rsidRDefault="006D6188">
      <w:pPr>
        <w:rPr>
          <w:rFonts w:ascii="Verdana" w:hAnsi="Verdana"/>
          <w:sz w:val="40"/>
          <w:szCs w:val="40"/>
          <w:lang w:val="de-DE"/>
        </w:rPr>
      </w:pPr>
      <w:r>
        <w:rPr>
          <w:rFonts w:ascii="Verdana" w:hAnsi="Verdana"/>
          <w:noProof/>
          <w:sz w:val="40"/>
          <w:szCs w:val="40"/>
          <w:lang w:val="de-DE"/>
        </w:rPr>
        <w:lastRenderedPageBreak/>
        <w:drawing>
          <wp:inline distT="0" distB="0" distL="0" distR="0" wp14:anchorId="0F49106B" wp14:editId="6D15B321">
            <wp:extent cx="5760720" cy="3286760"/>
            <wp:effectExtent l="0" t="0" r="0" b="8890"/>
            <wp:docPr id="10" name="Picture 10" descr="Gráf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Char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8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BD88F" w14:textId="1FDCEAC3" w:rsidR="00AE0FA9" w:rsidRDefault="00F457F0" w:rsidP="00AE0FA9">
      <w:pPr>
        <w:rPr>
          <w:rFonts w:ascii="Verdana" w:hAnsi="Verdana"/>
          <w:b/>
          <w:bCs/>
          <w:sz w:val="24"/>
          <w:szCs w:val="24"/>
          <w:lang w:val="de-DE"/>
        </w:rPr>
      </w:pPr>
      <w:r w:rsidRPr="000357A2">
        <w:rPr>
          <w:rFonts w:ascii="Verdana" w:hAnsi="Verdana"/>
          <w:sz w:val="40"/>
          <w:szCs w:val="40"/>
          <w:lang w:val="de-DE"/>
        </w:rPr>
        <w:br/>
      </w:r>
    </w:p>
    <w:p w14:paraId="470B4518" w14:textId="77428AC0" w:rsidR="00AE0FA9" w:rsidRDefault="00AE0FA9" w:rsidP="00AE0FA9">
      <w:pPr>
        <w:rPr>
          <w:rFonts w:ascii="Verdana" w:hAnsi="Verdana"/>
          <w:b/>
          <w:bCs/>
          <w:sz w:val="28"/>
          <w:szCs w:val="28"/>
          <w:lang w:val="de-DE"/>
        </w:rPr>
      </w:pPr>
      <w:r w:rsidRPr="00AE0FA9">
        <w:rPr>
          <w:b/>
          <w:sz w:val="28"/>
          <w:szCs w:val="28"/>
          <w:lang w:val="es"/>
        </w:rPr>
        <w:t>El operador avanzado apunta al 50-70% de las posibles ganancias de puntos en cada día de negociación y, por lo tanto, acumula un capital.</w:t>
      </w:r>
    </w:p>
    <w:p w14:paraId="4ED1CEB3" w14:textId="61F3990B" w:rsidR="00F31366" w:rsidRDefault="00F31366" w:rsidP="00AE0FA9">
      <w:pPr>
        <w:rPr>
          <w:rFonts w:ascii="Verdana" w:hAnsi="Verdana"/>
          <w:b/>
          <w:bCs/>
          <w:sz w:val="28"/>
          <w:szCs w:val="28"/>
          <w:lang w:val="de-DE"/>
        </w:rPr>
      </w:pPr>
    </w:p>
    <w:p w14:paraId="068B3B21" w14:textId="72D957AB" w:rsidR="00AB204A" w:rsidRDefault="00F31366" w:rsidP="00AE0FA9">
      <w:pPr>
        <w:rPr>
          <w:rFonts w:ascii="Verdana" w:hAnsi="Verdana"/>
          <w:b/>
          <w:bCs/>
          <w:sz w:val="28"/>
          <w:szCs w:val="28"/>
          <w:lang w:val="de-DE"/>
        </w:rPr>
      </w:pPr>
      <w:r>
        <w:rPr>
          <w:b/>
          <w:sz w:val="28"/>
          <w:szCs w:val="28"/>
          <w:lang w:val="es"/>
        </w:rPr>
        <w:t xml:space="preserve">El siguiente gráfico muestra el desarrollo si solo se lograra el 50% de las posibles ganancias de puntos. </w:t>
      </w:r>
      <w:r w:rsidR="00AB204A">
        <w:rPr>
          <w:b/>
          <w:sz w:val="28"/>
          <w:szCs w:val="28"/>
          <w:lang w:val="es"/>
        </w:rPr>
        <w:t xml:space="preserve"> Sin embargo, los requisitos de margen ascienden a más del 50% del capital respectivo.</w:t>
      </w:r>
    </w:p>
    <w:p w14:paraId="161E5F14" w14:textId="263230A6" w:rsidR="00AB204A" w:rsidRDefault="00AB204A" w:rsidP="00AE0FA9">
      <w:pPr>
        <w:rPr>
          <w:rFonts w:ascii="Verdana" w:hAnsi="Verdana"/>
          <w:b/>
          <w:bCs/>
          <w:sz w:val="28"/>
          <w:szCs w:val="28"/>
          <w:lang w:val="de-DE"/>
        </w:rPr>
      </w:pPr>
    </w:p>
    <w:p w14:paraId="6E81147D" w14:textId="22796A9A" w:rsidR="00AB204A" w:rsidRDefault="00AB204A" w:rsidP="00AE0FA9">
      <w:pPr>
        <w:rPr>
          <w:rFonts w:ascii="Verdana" w:hAnsi="Verdana"/>
          <w:b/>
          <w:bCs/>
          <w:sz w:val="28"/>
          <w:szCs w:val="28"/>
          <w:lang w:val="de-DE"/>
        </w:rPr>
      </w:pPr>
      <w:r>
        <w:rPr>
          <w:rFonts w:ascii="Verdana" w:hAnsi="Verdana"/>
          <w:b/>
          <w:bCs/>
          <w:noProof/>
          <w:sz w:val="28"/>
          <w:szCs w:val="28"/>
          <w:lang w:val="de-DE"/>
        </w:rPr>
        <w:lastRenderedPageBreak/>
        <w:drawing>
          <wp:inline distT="0" distB="0" distL="0" distR="0" wp14:anchorId="26FB4B99" wp14:editId="04E7D248">
            <wp:extent cx="5760720" cy="4501515"/>
            <wp:effectExtent l="0" t="0" r="0" b="0"/>
            <wp:docPr id="11" name="Picture 11" descr="Gráfic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Chart&#10;&#10;Description automatically generated with medium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0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81A76" w14:textId="0C1BD94B" w:rsidR="00F31366" w:rsidRDefault="00F31366" w:rsidP="00AE0FA9">
      <w:pPr>
        <w:rPr>
          <w:rFonts w:ascii="Verdana" w:hAnsi="Verdana"/>
          <w:b/>
          <w:bCs/>
          <w:sz w:val="28"/>
          <w:szCs w:val="28"/>
          <w:lang w:val="de-DE"/>
        </w:rPr>
      </w:pPr>
    </w:p>
    <w:p w14:paraId="236BBD1B" w14:textId="42D026A3" w:rsidR="00F31366" w:rsidRPr="00AE0FA9" w:rsidRDefault="00AB204A" w:rsidP="00AE0FA9">
      <w:pPr>
        <w:rPr>
          <w:rFonts w:ascii="Verdana" w:hAnsi="Verdana"/>
          <w:b/>
          <w:bCs/>
          <w:sz w:val="28"/>
          <w:szCs w:val="28"/>
          <w:lang w:val="de-DE"/>
        </w:rPr>
      </w:pPr>
      <w:r>
        <w:rPr>
          <w:b/>
          <w:sz w:val="28"/>
          <w:szCs w:val="28"/>
          <w:lang w:val="es"/>
        </w:rPr>
        <w:t>En el período que abarca el informe, se generaron ingresos por valor de 14.260 euros.</w:t>
      </w:r>
    </w:p>
    <w:p w14:paraId="3CF967AE" w14:textId="16667D1E" w:rsidR="00AE0FA9" w:rsidRPr="008E226C" w:rsidRDefault="00AE0FA9">
      <w:pPr>
        <w:rPr>
          <w:rFonts w:ascii="Verdana" w:hAnsi="Verdana"/>
          <w:b/>
          <w:bCs/>
          <w:sz w:val="28"/>
          <w:szCs w:val="28"/>
          <w:lang w:val="de-DE"/>
        </w:rPr>
      </w:pPr>
    </w:p>
    <w:p w14:paraId="7BBD6491" w14:textId="1F99E53A" w:rsidR="00AE0FA9" w:rsidRPr="008E226C" w:rsidRDefault="00C77602">
      <w:pPr>
        <w:rPr>
          <w:rFonts w:ascii="Verdana" w:hAnsi="Verdana"/>
          <w:b/>
          <w:bCs/>
          <w:sz w:val="28"/>
          <w:szCs w:val="28"/>
          <w:lang w:val="de-DE"/>
        </w:rPr>
      </w:pPr>
      <w:r w:rsidRPr="008E226C">
        <w:rPr>
          <w:b/>
          <w:sz w:val="28"/>
          <w:szCs w:val="28"/>
          <w:lang w:val="es"/>
        </w:rPr>
        <w:t>Análisis de resultados.</w:t>
      </w:r>
    </w:p>
    <w:p w14:paraId="68275047" w14:textId="473FAAEE" w:rsidR="00160584" w:rsidRDefault="00F457F0" w:rsidP="006405B9">
      <w:pPr>
        <w:pStyle w:val="Prrafodelista"/>
        <w:numPr>
          <w:ilvl w:val="0"/>
          <w:numId w:val="1"/>
        </w:numPr>
        <w:rPr>
          <w:rFonts w:ascii="Verdana" w:hAnsi="Verdana"/>
          <w:b/>
          <w:bCs/>
          <w:sz w:val="28"/>
          <w:szCs w:val="28"/>
          <w:lang w:val="de-DE"/>
        </w:rPr>
      </w:pPr>
      <w:r w:rsidRPr="006405B9">
        <w:rPr>
          <w:b/>
          <w:sz w:val="28"/>
          <w:szCs w:val="28"/>
          <w:lang w:val="es"/>
        </w:rPr>
        <w:t xml:space="preserve">Volatilidad: El ancho de las zonas de acción con la apertura de posiciones depende de la </w:t>
      </w:r>
    </w:p>
    <w:p w14:paraId="708D3EF4" w14:textId="77777777" w:rsidR="00160584" w:rsidRDefault="00160584" w:rsidP="00160584">
      <w:pPr>
        <w:pStyle w:val="Prrafodelista"/>
        <w:ind w:left="1429"/>
        <w:rPr>
          <w:rFonts w:ascii="Verdana" w:hAnsi="Verdana"/>
          <w:b/>
          <w:bCs/>
          <w:sz w:val="28"/>
          <w:szCs w:val="28"/>
          <w:lang w:val="de-DE"/>
        </w:rPr>
      </w:pPr>
    </w:p>
    <w:p w14:paraId="45F74D5A" w14:textId="38EC9BF1" w:rsidR="006405B9" w:rsidRPr="006405B9" w:rsidRDefault="00F457F0" w:rsidP="00160584">
      <w:pPr>
        <w:pStyle w:val="Prrafodelista"/>
        <w:ind w:left="1429"/>
        <w:rPr>
          <w:rFonts w:ascii="Verdana" w:hAnsi="Verdana"/>
          <w:b/>
          <w:bCs/>
          <w:sz w:val="28"/>
          <w:szCs w:val="28"/>
          <w:lang w:val="de-DE"/>
        </w:rPr>
      </w:pPr>
      <w:r w:rsidRPr="006405B9">
        <w:rPr>
          <w:b/>
          <w:sz w:val="28"/>
          <w:szCs w:val="28"/>
          <w:lang w:val="es"/>
        </w:rPr>
        <w:lastRenderedPageBreak/>
        <w:t>Volatilidad del VDAX-NEW</w:t>
      </w:r>
      <w:r w:rsidR="00AE0FA9" w:rsidRPr="006405B9">
        <w:rPr>
          <w:sz w:val="40"/>
          <w:szCs w:val="40"/>
          <w:lang w:val="es"/>
        </w:rPr>
        <w:t xml:space="preserve">. </w:t>
      </w:r>
      <w:r w:rsidR="006405B9">
        <w:rPr>
          <w:noProof/>
          <w:lang w:val="es"/>
        </w:rPr>
        <w:drawing>
          <wp:inline distT="0" distB="0" distL="0" distR="0" wp14:anchorId="43062514" wp14:editId="3DDDB527">
            <wp:extent cx="5760720" cy="2202180"/>
            <wp:effectExtent l="0" t="0" r="0" b="7620"/>
            <wp:docPr id="5" name="Imagen 5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Chart, lin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0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8BD69" w14:textId="6AFE0CD0" w:rsidR="006405B9" w:rsidRPr="00160584" w:rsidRDefault="000B106B" w:rsidP="00160584">
      <w:pPr>
        <w:ind w:left="709"/>
        <w:rPr>
          <w:rFonts w:ascii="Verdana" w:hAnsi="Verdana"/>
          <w:b/>
          <w:bCs/>
          <w:sz w:val="28"/>
          <w:szCs w:val="28"/>
          <w:lang w:val="de-DE"/>
        </w:rPr>
      </w:pPr>
      <w:r w:rsidRPr="000B106B">
        <w:rPr>
          <w:b/>
          <w:sz w:val="28"/>
          <w:szCs w:val="28"/>
          <w:lang w:val="es"/>
        </w:rPr>
        <w:t xml:space="preserve">  2)</w:t>
      </w:r>
      <w:r w:rsidR="00AE0FA9" w:rsidRPr="00160584">
        <w:rPr>
          <w:b/>
          <w:sz w:val="28"/>
          <w:szCs w:val="28"/>
          <w:lang w:val="es"/>
        </w:rPr>
        <w:t xml:space="preserve"> Trading matutino y ejecuciones.</w:t>
      </w:r>
    </w:p>
    <w:p w14:paraId="593ADF15" w14:textId="77777777" w:rsidR="006405B9" w:rsidRPr="006405B9" w:rsidRDefault="006405B9" w:rsidP="006405B9">
      <w:pPr>
        <w:rPr>
          <w:rFonts w:ascii="Verdana" w:hAnsi="Verdana"/>
          <w:sz w:val="40"/>
          <w:szCs w:val="40"/>
          <w:lang w:val="de-DE"/>
        </w:rPr>
      </w:pPr>
    </w:p>
    <w:p w14:paraId="71556A37" w14:textId="77777777" w:rsidR="006405B9" w:rsidRDefault="006405B9" w:rsidP="006405B9">
      <w:pPr>
        <w:pStyle w:val="Prrafodelista"/>
        <w:ind w:left="1429"/>
        <w:rPr>
          <w:rFonts w:ascii="Verdana" w:hAnsi="Verdana"/>
          <w:sz w:val="40"/>
          <w:szCs w:val="40"/>
          <w:lang w:val="de-DE"/>
        </w:rPr>
      </w:pPr>
      <w:r>
        <w:rPr>
          <w:noProof/>
        </w:rPr>
        <w:drawing>
          <wp:inline distT="0" distB="0" distL="0" distR="0" wp14:anchorId="79D8B725" wp14:editId="2E5E5E89">
            <wp:extent cx="5760720" cy="2213610"/>
            <wp:effectExtent l="0" t="0" r="0" b="0"/>
            <wp:docPr id="6" name="Imagen 6" descr="M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Tabl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13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57F0" w:rsidRPr="006405B9">
        <w:rPr>
          <w:rFonts w:ascii="Verdana" w:hAnsi="Verdana"/>
          <w:b/>
          <w:bCs/>
          <w:sz w:val="28"/>
          <w:szCs w:val="28"/>
          <w:lang w:val="de-DE"/>
        </w:rPr>
        <w:br/>
      </w:r>
    </w:p>
    <w:p w14:paraId="35DE4D66" w14:textId="067FD13F" w:rsidR="001045A9" w:rsidRPr="00D10AA7" w:rsidRDefault="006405B9" w:rsidP="00D10AA7">
      <w:pPr>
        <w:pStyle w:val="Prrafodelista"/>
        <w:numPr>
          <w:ilvl w:val="0"/>
          <w:numId w:val="1"/>
        </w:numPr>
        <w:rPr>
          <w:rFonts w:ascii="Verdana" w:hAnsi="Verdana"/>
          <w:b/>
          <w:bCs/>
          <w:sz w:val="28"/>
          <w:szCs w:val="28"/>
          <w:lang w:val="de-DE"/>
        </w:rPr>
      </w:pPr>
      <w:r w:rsidRPr="00D10AA7">
        <w:rPr>
          <w:b/>
          <w:sz w:val="28"/>
          <w:szCs w:val="28"/>
          <w:lang w:val="es"/>
        </w:rPr>
        <w:t xml:space="preserve">El comercio por </w:t>
      </w:r>
      <w:r w:rsidR="00F457F0" w:rsidRPr="00D10AA7">
        <w:rPr>
          <w:sz w:val="40"/>
          <w:szCs w:val="40"/>
          <w:lang w:val="es"/>
        </w:rPr>
        <w:br/>
      </w:r>
      <w:r>
        <w:rPr>
          <w:noProof/>
          <w:lang w:val="es"/>
        </w:rPr>
        <w:drawing>
          <wp:inline distT="0" distB="0" distL="0" distR="0" wp14:anchorId="10A9D206" wp14:editId="29AF3E1E">
            <wp:extent cx="5760720" cy="2158365"/>
            <wp:effectExtent l="0" t="0" r="0" b="0"/>
            <wp:docPr id="7" name="Imagen 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Tabl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58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57F0" w:rsidRPr="00D10AA7">
        <w:rPr>
          <w:sz w:val="40"/>
          <w:szCs w:val="40"/>
          <w:lang w:val="es"/>
        </w:rPr>
        <w:br/>
      </w:r>
      <w:r>
        <w:rPr>
          <w:noProof/>
          <w:lang w:val="es"/>
        </w:rPr>
        <w:lastRenderedPageBreak/>
        <w:drawing>
          <wp:inline distT="0" distB="0" distL="0" distR="0" wp14:anchorId="6FD2DA28" wp14:editId="62BF0B76">
            <wp:extent cx="5760720" cy="2127250"/>
            <wp:effectExtent l="0" t="0" r="0" b="6350"/>
            <wp:docPr id="8" name="Imagen 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Tabl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2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57F0" w:rsidRPr="00D10AA7">
        <w:rPr>
          <w:sz w:val="40"/>
          <w:szCs w:val="40"/>
          <w:lang w:val="es"/>
        </w:rPr>
        <w:br/>
      </w:r>
      <w:r w:rsidR="00444130">
        <w:rPr>
          <w:b/>
          <w:sz w:val="28"/>
          <w:szCs w:val="28"/>
          <w:lang w:val="es"/>
        </w:rPr>
        <w:t>la tarde</w:t>
      </w:r>
      <w:r>
        <w:rPr>
          <w:lang w:val="es"/>
        </w:rPr>
        <w:t xml:space="preserve"> significa que una apertura </w:t>
      </w:r>
      <w:r w:rsidR="00444130">
        <w:rPr>
          <w:b/>
          <w:sz w:val="28"/>
          <w:szCs w:val="28"/>
          <w:lang w:val="es"/>
        </w:rPr>
        <w:t xml:space="preserve"> posterior</w:t>
      </w:r>
      <w:r>
        <w:rPr>
          <w:lang w:val="es"/>
        </w:rPr>
        <w:t xml:space="preserve"> era posible </w:t>
      </w:r>
      <w:r w:rsidR="00D10AA7" w:rsidRPr="00D10AA7">
        <w:rPr>
          <w:b/>
          <w:sz w:val="28"/>
          <w:szCs w:val="28"/>
          <w:lang w:val="es"/>
        </w:rPr>
        <w:t xml:space="preserve"> casi todos los días. El punto de entrada más común es la Configuración 4, con más de la mitad de los días y una tasa de efectividad del 93%.</w:t>
      </w:r>
    </w:p>
    <w:p w14:paraId="0DDAC8C5" w14:textId="76FE2795" w:rsidR="00D10AA7" w:rsidRPr="00D10AA7" w:rsidRDefault="00D10AA7" w:rsidP="00D10AA7">
      <w:pPr>
        <w:pStyle w:val="Prrafodelista"/>
        <w:ind w:left="1429"/>
        <w:rPr>
          <w:rFonts w:ascii="Verdana" w:hAnsi="Verdana"/>
          <w:b/>
          <w:bCs/>
          <w:sz w:val="28"/>
          <w:szCs w:val="28"/>
          <w:lang w:val="de-DE"/>
        </w:rPr>
      </w:pPr>
    </w:p>
    <w:p w14:paraId="0F418328" w14:textId="17E89F28" w:rsidR="00D10AA7" w:rsidRPr="00D10AA7" w:rsidRDefault="00D10AA7" w:rsidP="00D10AA7">
      <w:pPr>
        <w:pStyle w:val="Prrafodelista"/>
        <w:ind w:left="1429"/>
        <w:rPr>
          <w:rFonts w:ascii="Verdana" w:hAnsi="Verdana"/>
          <w:b/>
          <w:bCs/>
          <w:sz w:val="28"/>
          <w:szCs w:val="28"/>
          <w:lang w:val="de-DE"/>
        </w:rPr>
      </w:pPr>
      <w:r w:rsidRPr="00D10AA7">
        <w:rPr>
          <w:b/>
          <w:sz w:val="28"/>
          <w:szCs w:val="28"/>
          <w:lang w:val="es"/>
        </w:rPr>
        <w:t xml:space="preserve">Con una </w:t>
      </w:r>
      <w:r>
        <w:rPr>
          <w:b/>
          <w:sz w:val="28"/>
          <w:szCs w:val="28"/>
          <w:lang w:val="es"/>
        </w:rPr>
        <w:t>volatilidad muy baja, la frecuencia de negociación disminuye por la tarde.</w:t>
      </w:r>
    </w:p>
    <w:p w14:paraId="407685FA" w14:textId="49B74AD8" w:rsidR="00E31C2A" w:rsidRPr="00D10AA7" w:rsidRDefault="00E31C2A" w:rsidP="00AB204A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de-DE" w:eastAsia="en-GB"/>
        </w:rPr>
      </w:pPr>
    </w:p>
    <w:p w14:paraId="05E4B570" w14:textId="321134EC" w:rsidR="00E31C2A" w:rsidRPr="00E31C2A" w:rsidRDefault="00E31C2A" w:rsidP="003D6B83">
      <w:pPr>
        <w:rPr>
          <w:rFonts w:ascii="Verdana" w:hAnsi="Verdana"/>
          <w:b/>
          <w:bCs/>
          <w:sz w:val="28"/>
          <w:szCs w:val="28"/>
          <w:u w:val="single"/>
          <w:lang w:val="de-DE"/>
        </w:rPr>
      </w:pPr>
    </w:p>
    <w:p w14:paraId="59281427" w14:textId="77777777" w:rsidR="00E31C2A" w:rsidRPr="003D6B83" w:rsidRDefault="00E31C2A" w:rsidP="003D6B83">
      <w:pPr>
        <w:rPr>
          <w:rFonts w:ascii="Verdana" w:hAnsi="Verdana"/>
          <w:b/>
          <w:bCs/>
          <w:sz w:val="28"/>
          <w:szCs w:val="28"/>
          <w:lang w:val="de-DE"/>
        </w:rPr>
      </w:pPr>
    </w:p>
    <w:p w14:paraId="55236232" w14:textId="77777777" w:rsidR="003D6B83" w:rsidRPr="003D6B83" w:rsidRDefault="003D6B83" w:rsidP="003D6B83">
      <w:pPr>
        <w:rPr>
          <w:rFonts w:ascii="Verdana" w:hAnsi="Verdana"/>
          <w:b/>
          <w:bCs/>
          <w:sz w:val="28"/>
          <w:szCs w:val="28"/>
          <w:lang w:val="de-DE"/>
        </w:rPr>
      </w:pPr>
    </w:p>
    <w:p w14:paraId="05302538" w14:textId="77777777" w:rsidR="003D6B83" w:rsidRDefault="003D6B83" w:rsidP="003D6B83">
      <w:pPr>
        <w:rPr>
          <w:rFonts w:ascii="Verdana" w:hAnsi="Verdana"/>
          <w:b/>
          <w:bCs/>
          <w:sz w:val="28"/>
          <w:szCs w:val="28"/>
          <w:lang w:val="de-DE"/>
        </w:rPr>
      </w:pPr>
    </w:p>
    <w:p w14:paraId="23107A23" w14:textId="77777777" w:rsidR="003D6B83" w:rsidRPr="001047BD" w:rsidRDefault="003D6B83" w:rsidP="003D6B83">
      <w:pPr>
        <w:rPr>
          <w:rFonts w:ascii="Verdana" w:hAnsi="Verdana"/>
          <w:b/>
          <w:bCs/>
          <w:sz w:val="28"/>
          <w:szCs w:val="28"/>
          <w:lang w:val="de-DE"/>
        </w:rPr>
      </w:pPr>
    </w:p>
    <w:p w14:paraId="1CFF4BE8" w14:textId="090FB231" w:rsidR="003D6B83" w:rsidRDefault="003D6B83" w:rsidP="003D6B83">
      <w:pPr>
        <w:rPr>
          <w:rFonts w:ascii="Verdana" w:hAnsi="Verdana"/>
          <w:b/>
          <w:bCs/>
          <w:sz w:val="28"/>
          <w:szCs w:val="28"/>
          <w:lang w:val="de-DE"/>
        </w:rPr>
      </w:pPr>
    </w:p>
    <w:p w14:paraId="3A33AA0A" w14:textId="77777777" w:rsidR="003D6B83" w:rsidRPr="003D6B83" w:rsidRDefault="003D6B83" w:rsidP="003D6B83">
      <w:pPr>
        <w:rPr>
          <w:rFonts w:ascii="Verdana" w:hAnsi="Verdana"/>
          <w:b/>
          <w:bCs/>
          <w:sz w:val="28"/>
          <w:szCs w:val="28"/>
          <w:lang w:val="de-DE"/>
        </w:rPr>
      </w:pPr>
    </w:p>
    <w:p w14:paraId="47DB95EE" w14:textId="77777777" w:rsidR="003D6B83" w:rsidRPr="003D6B83" w:rsidRDefault="003D6B83" w:rsidP="003D6B83">
      <w:pPr>
        <w:rPr>
          <w:rFonts w:ascii="Verdana" w:hAnsi="Verdana"/>
          <w:b/>
          <w:bCs/>
          <w:sz w:val="28"/>
          <w:szCs w:val="28"/>
          <w:lang w:val="de-DE"/>
        </w:rPr>
      </w:pPr>
    </w:p>
    <w:p w14:paraId="4CE13026" w14:textId="7600F6C6" w:rsidR="003D6B83" w:rsidRPr="003D6B83" w:rsidRDefault="003D6B83" w:rsidP="003D6B83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de-DE" w:eastAsia="en-GB"/>
        </w:rPr>
      </w:pPr>
    </w:p>
    <w:p w14:paraId="1E07FA06" w14:textId="3356BFCC" w:rsidR="003D6B83" w:rsidRPr="003D6B83" w:rsidRDefault="003D6B83" w:rsidP="003D6B83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de-DE" w:eastAsia="en-GB"/>
        </w:rPr>
      </w:pPr>
    </w:p>
    <w:sectPr w:rsidR="003D6B83" w:rsidRPr="003D6B8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7208CD"/>
    <w:multiLevelType w:val="hybridMultilevel"/>
    <w:tmpl w:val="7E8A14A8"/>
    <w:lvl w:ilvl="0" w:tplc="F71EBB78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7F0"/>
    <w:rsid w:val="000357A2"/>
    <w:rsid w:val="000B106B"/>
    <w:rsid w:val="001045A9"/>
    <w:rsid w:val="00160584"/>
    <w:rsid w:val="00286FC8"/>
    <w:rsid w:val="003D6B83"/>
    <w:rsid w:val="003F725B"/>
    <w:rsid w:val="00444130"/>
    <w:rsid w:val="00503E67"/>
    <w:rsid w:val="005C3857"/>
    <w:rsid w:val="006405B9"/>
    <w:rsid w:val="006723AC"/>
    <w:rsid w:val="006D6188"/>
    <w:rsid w:val="008E226C"/>
    <w:rsid w:val="00900BF8"/>
    <w:rsid w:val="00AB204A"/>
    <w:rsid w:val="00AE0FA9"/>
    <w:rsid w:val="00AE5B3B"/>
    <w:rsid w:val="00B20FD1"/>
    <w:rsid w:val="00B70D3E"/>
    <w:rsid w:val="00BF4960"/>
    <w:rsid w:val="00C27C6B"/>
    <w:rsid w:val="00C77602"/>
    <w:rsid w:val="00C91FD6"/>
    <w:rsid w:val="00D10AA7"/>
    <w:rsid w:val="00DE3845"/>
    <w:rsid w:val="00E07DC7"/>
    <w:rsid w:val="00E31C2A"/>
    <w:rsid w:val="00F31366"/>
    <w:rsid w:val="00F4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3541E"/>
  <w15:chartTrackingRefBased/>
  <w15:docId w15:val="{904CC6AE-CD97-42E1-A538-B35BD3808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3857"/>
  </w:style>
  <w:style w:type="paragraph" w:styleId="Ttulo1">
    <w:name w:val="heading 1"/>
    <w:basedOn w:val="Normal"/>
    <w:next w:val="Normal"/>
    <w:link w:val="Ttulo1Car"/>
    <w:uiPriority w:val="9"/>
    <w:qFormat/>
    <w:rsid w:val="005C3857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C3857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C3857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C3857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C3857"/>
    <w:pPr>
      <w:spacing w:after="0"/>
      <w:jc w:val="left"/>
      <w:outlineLvl w:val="4"/>
    </w:pPr>
    <w:rPr>
      <w:smallCaps/>
      <w:color w:val="538135" w:themeColor="accent6" w:themeShade="BF"/>
      <w:spacing w:val="10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C3857"/>
    <w:pPr>
      <w:spacing w:after="0"/>
      <w:jc w:val="left"/>
      <w:outlineLvl w:val="5"/>
    </w:pPr>
    <w:rPr>
      <w:smallCaps/>
      <w:color w:val="70AD47" w:themeColor="accent6"/>
      <w:spacing w:val="5"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C3857"/>
    <w:pPr>
      <w:spacing w:after="0"/>
      <w:jc w:val="left"/>
      <w:outlineLvl w:val="6"/>
    </w:pPr>
    <w:rPr>
      <w:b/>
      <w:bCs/>
      <w:smallCaps/>
      <w:color w:val="70AD47" w:themeColor="accent6"/>
      <w:spacing w:val="1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C3857"/>
    <w:pPr>
      <w:spacing w:after="0"/>
      <w:jc w:val="left"/>
      <w:outlineLvl w:val="7"/>
    </w:pPr>
    <w:rPr>
      <w:b/>
      <w:bCs/>
      <w:i/>
      <w:iCs/>
      <w:smallCaps/>
      <w:color w:val="538135" w:themeColor="accent6" w:themeShade="B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C3857"/>
    <w:pPr>
      <w:spacing w:after="0"/>
      <w:jc w:val="left"/>
      <w:outlineLvl w:val="8"/>
    </w:pPr>
    <w:rPr>
      <w:b/>
      <w:bCs/>
      <w:i/>
      <w:iCs/>
      <w:smallCaps/>
      <w:color w:val="385623" w:themeColor="accent6" w:themeShade="8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C3857"/>
    <w:rPr>
      <w:smallCaps/>
      <w:spacing w:val="5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C3857"/>
    <w:rPr>
      <w:smallCaps/>
      <w:spacing w:val="5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C3857"/>
    <w:rPr>
      <w:smallCaps/>
      <w:spacing w:val="5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C3857"/>
    <w:rPr>
      <w:i/>
      <w:iCs/>
      <w:smallCaps/>
      <w:spacing w:val="10"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C3857"/>
    <w:rPr>
      <w:smallCaps/>
      <w:color w:val="538135" w:themeColor="accent6" w:themeShade="BF"/>
      <w:spacing w:val="10"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C3857"/>
    <w:rPr>
      <w:smallCaps/>
      <w:color w:val="70AD47" w:themeColor="accent6"/>
      <w:spacing w:val="5"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C3857"/>
    <w:rPr>
      <w:b/>
      <w:bCs/>
      <w:smallCaps/>
      <w:color w:val="70AD47" w:themeColor="accent6"/>
      <w:spacing w:val="1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C3857"/>
    <w:rPr>
      <w:b/>
      <w:bCs/>
      <w:i/>
      <w:iCs/>
      <w:smallCaps/>
      <w:color w:val="538135" w:themeColor="accent6" w:themeShade="BF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C3857"/>
    <w:rPr>
      <w:b/>
      <w:bCs/>
      <w:i/>
      <w:iCs/>
      <w:smallCaps/>
      <w:color w:val="385623" w:themeColor="accent6" w:themeShade="8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5C3857"/>
    <w:rPr>
      <w:b/>
      <w:bCs/>
      <w:caps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5C3857"/>
    <w:pPr>
      <w:pBdr>
        <w:top w:val="single" w:sz="8" w:space="1" w:color="70AD47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5C3857"/>
    <w:rPr>
      <w:smallCaps/>
      <w:color w:val="262626" w:themeColor="text1" w:themeTint="D9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5C3857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SubttuloCar">
    <w:name w:val="Subtítulo Car"/>
    <w:basedOn w:val="Fuentedeprrafopredeter"/>
    <w:link w:val="Subttulo"/>
    <w:uiPriority w:val="11"/>
    <w:rsid w:val="005C3857"/>
    <w:rPr>
      <w:rFonts w:asciiTheme="majorHAnsi" w:eastAsiaTheme="majorEastAsia" w:hAnsiTheme="majorHAnsi" w:cstheme="majorBidi"/>
    </w:rPr>
  </w:style>
  <w:style w:type="character" w:styleId="Textoennegrita">
    <w:name w:val="Strong"/>
    <w:uiPriority w:val="22"/>
    <w:qFormat/>
    <w:rsid w:val="005C3857"/>
    <w:rPr>
      <w:b/>
      <w:bCs/>
      <w:color w:val="70AD47" w:themeColor="accent6"/>
    </w:rPr>
  </w:style>
  <w:style w:type="character" w:styleId="nfasis">
    <w:name w:val="Emphasis"/>
    <w:uiPriority w:val="20"/>
    <w:qFormat/>
    <w:rsid w:val="005C3857"/>
    <w:rPr>
      <w:b/>
      <w:bCs/>
      <w:i/>
      <w:iCs/>
      <w:spacing w:val="10"/>
    </w:rPr>
  </w:style>
  <w:style w:type="paragraph" w:styleId="Sinespaciado">
    <w:name w:val="No Spacing"/>
    <w:uiPriority w:val="1"/>
    <w:qFormat/>
    <w:rsid w:val="005C3857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5C3857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5C3857"/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5C3857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C3857"/>
    <w:pPr>
      <w:pBdr>
        <w:top w:val="single" w:sz="8" w:space="1" w:color="70AD47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C3857"/>
    <w:rPr>
      <w:b/>
      <w:bCs/>
      <w:i/>
      <w:iCs/>
    </w:rPr>
  </w:style>
  <w:style w:type="character" w:styleId="nfasissutil">
    <w:name w:val="Subtle Emphasis"/>
    <w:uiPriority w:val="19"/>
    <w:qFormat/>
    <w:rsid w:val="005C3857"/>
    <w:rPr>
      <w:i/>
      <w:iCs/>
    </w:rPr>
  </w:style>
  <w:style w:type="character" w:styleId="nfasisintenso">
    <w:name w:val="Intense Emphasis"/>
    <w:uiPriority w:val="21"/>
    <w:qFormat/>
    <w:rsid w:val="005C3857"/>
    <w:rPr>
      <w:b/>
      <w:bCs/>
      <w:i/>
      <w:iCs/>
      <w:color w:val="70AD47" w:themeColor="accent6"/>
      <w:spacing w:val="10"/>
    </w:rPr>
  </w:style>
  <w:style w:type="character" w:styleId="Referenciasutil">
    <w:name w:val="Subtle Reference"/>
    <w:uiPriority w:val="31"/>
    <w:qFormat/>
    <w:rsid w:val="005C3857"/>
    <w:rPr>
      <w:b/>
      <w:bCs/>
    </w:rPr>
  </w:style>
  <w:style w:type="character" w:styleId="Referenciaintensa">
    <w:name w:val="Intense Reference"/>
    <w:uiPriority w:val="32"/>
    <w:qFormat/>
    <w:rsid w:val="005C3857"/>
    <w:rPr>
      <w:b/>
      <w:bCs/>
      <w:smallCaps/>
      <w:spacing w:val="5"/>
      <w:sz w:val="22"/>
      <w:szCs w:val="22"/>
      <w:u w:val="single"/>
    </w:rPr>
  </w:style>
  <w:style w:type="character" w:styleId="Ttulodellibro">
    <w:name w:val="Book Title"/>
    <w:uiPriority w:val="33"/>
    <w:qFormat/>
    <w:rsid w:val="005C3857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5C3857"/>
    <w:pPr>
      <w:outlineLvl w:val="9"/>
    </w:pPr>
  </w:style>
  <w:style w:type="character" w:styleId="Hipervnculo">
    <w:name w:val="Hyperlink"/>
    <w:basedOn w:val="Fuentedeprrafopredeter"/>
    <w:uiPriority w:val="99"/>
    <w:semiHidden/>
    <w:unhideWhenUsed/>
    <w:rsid w:val="00F457F0"/>
    <w:rPr>
      <w:color w:val="0000FF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6723A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5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0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www.vtad.de/fdax-trading-strategie-ergebnis-19-12-23-12-2022/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586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 Mindermann</dc:creator>
  <cp:keywords/>
  <dc:description/>
  <cp:lastModifiedBy>Sobrino, Juan Carlos</cp:lastModifiedBy>
  <cp:revision>1</cp:revision>
  <cp:lastPrinted>2023-01-01T11:57:00Z</cp:lastPrinted>
  <dcterms:created xsi:type="dcterms:W3CDTF">2023-01-03T09:37:00Z</dcterms:created>
  <dcterms:modified xsi:type="dcterms:W3CDTF">2023-01-04T03:02:00Z</dcterms:modified>
  <cp:category/>
</cp:coreProperties>
</file>